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Предлагается усилить административную ответственность за несоблюдение юридическими лицами и индивидуальными предпринимателями уведомительного порядка осуществления предпринимательской деятельности</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7AFAAD19" wp14:editId="1A9AA032">
                  <wp:extent cx="114300" cy="142875"/>
                  <wp:effectExtent l="0" t="0" r="0" b="9525"/>
                  <wp:docPr id="7" name="Рисунок 7" descr="C:\Users\Sorotskaia.S.S\AppData\Local\Microsoft\Windows\INetCache\Content.MSO\2D653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rotskaia.S.S\AppData\Local\Microsoft\Windows\INetCache\Content.MSO\2D65391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 xml:space="preserve">Проект Федерального закона "О внесении изменений в Кодекс Российской Федерации об административных правонарушениях" (не внесен в ГД ФС РФ)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Проектом, в частности, увеличиваются размеры штрафов за данное правонарушение, устанавливается ответственность за несообщение сведений об изменениях в части уведомлений о начале осуществления предпринимательской деятельности в уполномоченный орган государственного контроля (надзора) в случае, если такое сообщение является обязательным, а также за повторное нарушение установленного порядка представления уведомлений. Кроме того, срок давности привлечения к административной ответственности за данное правонарушение увеличивается до шести месяцев.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По 31 декабря 2024 года продлевается проведение эксперимента по консультированию Росприроднадзором о соответствии деятельности, планируемой к осуществлению при реализации инвестиционных проектов, требованиям законодательства в области охраны окружающей среды и природопользования</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7DCF8732" wp14:editId="40061227">
                  <wp:extent cx="114300" cy="142875"/>
                  <wp:effectExtent l="0" t="0" r="0" b="9525"/>
                  <wp:docPr id="8" name="Рисунок 8" descr="C:\Users\Sorotskaia.S.S\AppData\Local\Microsoft\Windows\INetCache\Content.MSO\E6785A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rotskaia.S.S\AppData\Local\Microsoft\Windows\INetCache\Content.MSO\E6785A3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Постановление Правительства РФ от 30.05.2024 N 712</w:t>
            </w:r>
            <w:r w:rsidRPr="005B528E">
              <w:rPr>
                <w:rFonts w:ascii="Times New Roman" w:eastAsia="Times New Roman" w:hAnsi="Times New Roman" w:cs="Times New Roman"/>
                <w:sz w:val="21"/>
                <w:szCs w:val="21"/>
                <w:lang w:eastAsia="ru-RU"/>
              </w:rPr>
              <w:br/>
              <w:t xml:space="preserve">"О внесении изменения в постановление Правительства Российской Федерации от 1 декабря 2022 г. N 2200"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Соответствующие изменения внесены в постановление Правительства от 1 декабря 2022 г. N 2200, устанавливающее порядок проведения указанного эксперимента.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Содействие развитию инфраструктуры субъектов РФ отнесено к функциям Фонда развития территорий</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1D8297C1" wp14:editId="24AC81B9">
                  <wp:extent cx="114300" cy="142875"/>
                  <wp:effectExtent l="0" t="0" r="0" b="9525"/>
                  <wp:docPr id="9" name="Рисунок 9" descr="C:\Users\Sorotskaia.S.S\AppData\Local\Microsoft\Windows\INetCache\Content.MSO\9E52E4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rotskaia.S.S\AppData\Local\Microsoft\Windows\INetCache\Content.MSO\9E52E45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Постановление Правительства РФ от 30.05.2024 N 721</w:t>
            </w:r>
            <w:r w:rsidRPr="005B528E">
              <w:rPr>
                <w:rFonts w:ascii="Times New Roman" w:eastAsia="Times New Roman" w:hAnsi="Times New Roman" w:cs="Times New Roman"/>
                <w:sz w:val="21"/>
                <w:szCs w:val="21"/>
                <w:lang w:eastAsia="ru-RU"/>
              </w:rPr>
              <w:br/>
              <w:t xml:space="preserve">"О внесении изменений в некоторые акты Правительства Российской Федерации"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Также участие Фонда закреплено в Правилах отбора инфраструктурных проектов, источником финансового обеспечения которых являются бюджетные кредиты из федерального бюджета.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Кроме того, установлено, </w:t>
      </w:r>
      <w:proofErr w:type="gramStart"/>
      <w:r w:rsidRPr="005B528E">
        <w:rPr>
          <w:rFonts w:ascii="Times New Roman" w:eastAsia="Times New Roman" w:hAnsi="Times New Roman" w:cs="Times New Roman"/>
          <w:sz w:val="24"/>
          <w:szCs w:val="24"/>
          <w:lang w:eastAsia="ru-RU"/>
        </w:rPr>
        <w:t>что в случае если</w:t>
      </w:r>
      <w:proofErr w:type="gramEnd"/>
      <w:r w:rsidRPr="005B528E">
        <w:rPr>
          <w:rFonts w:ascii="Times New Roman" w:eastAsia="Times New Roman" w:hAnsi="Times New Roman" w:cs="Times New Roman"/>
          <w:sz w:val="24"/>
          <w:szCs w:val="24"/>
          <w:lang w:eastAsia="ru-RU"/>
        </w:rPr>
        <w:t xml:space="preserve"> условиями соглашения о реализации инфраструктурных проектов предусмотрена возможность привлечения Фонда развития территорий к осуществлению мероприятий по мониторингу реализации таких проектов, отдельные сведения, предусмотренные Правилами, утвержденными постановлением Правительства РФ от 14.07.2021 N 1190, подлежат также направлению в Фонд.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Установлен порядок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lastRenderedPageBreak/>
              <w:drawing>
                <wp:inline distT="0" distB="0" distL="0" distR="0" wp14:anchorId="36049411" wp14:editId="600C77D8">
                  <wp:extent cx="114300" cy="142875"/>
                  <wp:effectExtent l="0" t="0" r="0" b="9525"/>
                  <wp:docPr id="10" name="Рисунок 10" descr="C:\Users\Sorotskaia.S.S\AppData\Local\Microsoft\Windows\INetCache\Content.MSO\B607F4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rotskaia.S.S\AppData\Local\Microsoft\Windows\INetCache\Content.MSO\B607F4D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Постановление Правительства РФ от 31.05.2024 N 732</w:t>
            </w:r>
            <w:r w:rsidRPr="005B528E">
              <w:rPr>
                <w:rFonts w:ascii="Times New Roman" w:eastAsia="Times New Roman" w:hAnsi="Times New Roman" w:cs="Times New Roman"/>
                <w:sz w:val="21"/>
                <w:szCs w:val="21"/>
                <w:lang w:eastAsia="ru-RU"/>
              </w:rPr>
              <w:br/>
              <w:t xml:space="preserve">"Об утверждении Правил осуществления деятельности по восстановлению пропускной способности русел рек, использования извлеченного донного грунта при угрозе возникновения чрезвычайной ситуации или при возникновении чрезвычайной ситуации в соответствии с законодательством в области защиты населения и территорий от чрезвычайных ситуаций"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При получении исполнительным органом субъекта РФ (органом местного самоуправления) информации о возможном опасном природном (гидрометеорологическом) явлении на соответствующей территории от Росгидромета и (или) его подведомственных учреждений, а также от федерального органа исполнительной власти, уполномоченного на решение задач в области защиты населения и территорий от чрезвычайных ситуаций, и введении высшим должностным лицом субъекта РФ (главой местной администрации муниципального образования) режимов повышенной готовности или чрезвычайной ситуации высшее должностное лицо субъекта РФ (глава местной администрации муниципального образования) вправе дать указание о проведении мероприятий на водных объектах при угрозе возникновения или возникновении чрезвычайной ситуации.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Настоящее постановление вступает в силу с 1 сентября 2024 года. Признается утратившим силу постановление Правительства от 6 мая 2015 г. N 440 "Об использовании грунта, извлеченного при проведении дноуглубительных, гидротехнических работ, для предотвращения негативного воздействия вод при возникновении чрезвычайных ситуаций и ликвидации последствий таких ситуаций".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С 1 сентября 2024 г. вносятся изменения в правила маркировки молочной продукции</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68B1188E" wp14:editId="1A3DDCCF">
                  <wp:extent cx="114300" cy="142875"/>
                  <wp:effectExtent l="0" t="0" r="0" b="9525"/>
                  <wp:docPr id="11" name="Рисунок 11" descr="C:\Users\Sorotskaia.S.S\AppData\Local\Microsoft\Windows\INetCache\Content.MSO\15D005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rotskaia.S.S\AppData\Local\Microsoft\Windows\INetCache\Content.MSO\15D0054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Постановление Правительства РФ от 31.05.2024 N 736</w:t>
            </w:r>
            <w:r w:rsidRPr="005B528E">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15 декабря 2020 г. N 2099"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В частности, уточняется порядок представления сведений о кодах идентификации, и (или) кодах идентификации групповых упаковок, и (или) кодах идентификации транспортных упаковок меньшего уровня вложенности, входящих в транспортную упаковку, при осуществлении ввода в оборот молочной продукции, дополняются основания для отказа во внесении в информационную систему мониторинга сведений, представляемых участниками оборота молочной продукции, уточняется порядок регистрации молочной продукции в информационной системе мониторинга, корректируются сроки передачи сведений в информационную систему мониторинга.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С 1 сентября 2024 г. в некоторые акты Правительства РФ вносятся изменения, касающиеся использования электронной цифровой подписи при обороте товаров, подлежащих обязательной маркировке</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6D07EB41" wp14:editId="56A380EC">
                  <wp:extent cx="114300" cy="142875"/>
                  <wp:effectExtent l="0" t="0" r="0" b="9525"/>
                  <wp:docPr id="12" name="Рисунок 12" descr="C:\Users\Sorotskaia.S.S\AppData\Local\Microsoft\Windows\INetCache\Content.MSO\6A9D4B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rotskaia.S.S\AppData\Local\Microsoft\Windows\INetCache\Content.MSO\6A9D4B3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Постановление Правительства РФ от 31.05.2024 N 743</w:t>
            </w:r>
            <w:r w:rsidRPr="005B528E">
              <w:rPr>
                <w:rFonts w:ascii="Times New Roman" w:eastAsia="Times New Roman" w:hAnsi="Times New Roman" w:cs="Times New Roman"/>
                <w:sz w:val="21"/>
                <w:szCs w:val="21"/>
                <w:lang w:eastAsia="ru-RU"/>
              </w:rPr>
              <w:br/>
              <w:t xml:space="preserve">"О внесении изменений в некоторые акты Правительства Российской Федерации по вопросам использования электронной цифровой подписи при обороте товаров, подлежащих обязательной маркировке средствами идентификации"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Установлено, в частности, что электронные документы, автоматически формируемые и представляемые участниками оборота товаров в информационную систему мониторинга, за исключением заявления о регистрации участника оборота товаров, заявки на </w:t>
      </w:r>
      <w:r w:rsidRPr="005B528E">
        <w:rPr>
          <w:rFonts w:ascii="Times New Roman" w:eastAsia="Times New Roman" w:hAnsi="Times New Roman" w:cs="Times New Roman"/>
          <w:sz w:val="24"/>
          <w:szCs w:val="24"/>
          <w:lang w:eastAsia="ru-RU"/>
        </w:rPr>
        <w:lastRenderedPageBreak/>
        <w:t xml:space="preserve">тестирование информационного взаимодействия и заявки на доступ к устройству регистрации эмиссии, могут быть подписаны усиленной квалифицированной электронной подписью этого участника оборота товаров, который осуществляет функции оператора соответствующей информационной системы, с применением средств электронной подписи, используемых для автоматического создания электронных подписей.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Также уточняется, что участники оборота товаров должны, в числе прочего, владеть квалифицированным сертификатом ключа проверки электронной подписи, соответствующим ключу электронной подписи, позволяющему создавать усиленную квалифицированную электронную подпись.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1 сентября 2024 г. устанавливается перечень объектов, предназначенных для осуществления рекреационной деятельности на землях рекреационного назначения</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74698CCE" wp14:editId="77EA2F76">
                  <wp:extent cx="114300" cy="142875"/>
                  <wp:effectExtent l="0" t="0" r="0" b="9525"/>
                  <wp:docPr id="19" name="Рисунок 19" descr="C:\Users\Sorotskaia.S.S\AppData\Local\Microsoft\Windows\INetCache\Content.MSO\B651FD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orotskaia.S.S\AppData\Local\Microsoft\Windows\INetCache\Content.MSO\B651FD3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Распоряжение Правительства РФ от 01.06.2024 N 1372-р</w:t>
            </w:r>
            <w:r w:rsidRPr="005B528E">
              <w:rPr>
                <w:rFonts w:ascii="Times New Roman" w:eastAsia="Times New Roman" w:hAnsi="Times New Roman" w:cs="Times New Roman"/>
                <w:sz w:val="21"/>
                <w:szCs w:val="21"/>
                <w:lang w:eastAsia="ru-RU"/>
              </w:rPr>
              <w:br/>
              <w:t xml:space="preserve">&lt;Об утверждении перечня объектов, предназначенных для осуществления рекреационной деятельности на землях рекреационного значения&gt;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В перечень включены, в числе прочего, гостиницы и иные средства размещения, площадки для массовых мероприятий, летние кинотеатры, музеи, лагеря отдыха и оздоровления детей, аттракционы, аквапарки, бассейны, пляжи и инфраструктура для организации пляжного отдыха, горнолыжные комплексы и лыжные трассы, объекты общественного питания, зоопарки, объекты коммунально-бытовой, транспортной и инженерной инфраструктуры (в том числе магазины, билетные кассы, фотоателье, контейнеры-мусоросборники, урны, прачечные, химчистки, парикмахерские, стоянки автомобильного транспорта).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Расширен перечень индикаторов риска нарушения обязательных требований при осуществлении федерального государственного пожарного надзора</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noProof/>
              </w:rPr>
              <w:drawing>
                <wp:inline distT="0" distB="0" distL="0" distR="0" wp14:anchorId="73BFC6CD" wp14:editId="2956F127">
                  <wp:extent cx="114300" cy="142875"/>
                  <wp:effectExtent l="0" t="0" r="0" b="9525"/>
                  <wp:docPr id="24" name="Рисунок 24" descr="C:\Users\Sorotskaia.S.S\AppData\Local\Microsoft\Windows\INetCache\Content.MSO\3CD1A1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rotskaia.S.S\AppData\Local\Microsoft\Windows\INetCache\Content.MSO\3CD1A13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Приказ МЧС России от 08.04.2024 N 294</w:t>
            </w:r>
            <w:r w:rsidRPr="005B528E">
              <w:rPr>
                <w:rFonts w:ascii="Times New Roman" w:eastAsia="Times New Roman" w:hAnsi="Times New Roman" w:cs="Times New Roman"/>
                <w:sz w:val="21"/>
                <w:szCs w:val="21"/>
                <w:lang w:eastAsia="ru-RU"/>
              </w:rPr>
              <w:br/>
              <w:t>"О внесении изменений в перечень индикаторов риска нарушения обязательных требований при осуществлении федерального государственного пожарного надзора, утвержденный приказом МЧС России от 7 июня 2021 г. N 364"</w:t>
            </w:r>
            <w:r w:rsidRPr="005B528E">
              <w:rPr>
                <w:rFonts w:ascii="Times New Roman" w:eastAsia="Times New Roman" w:hAnsi="Times New Roman" w:cs="Times New Roman"/>
                <w:sz w:val="21"/>
                <w:szCs w:val="21"/>
                <w:lang w:eastAsia="ru-RU"/>
              </w:rPr>
              <w:br/>
              <w:t xml:space="preserve">Зарегистрировано в Минюсте России 04.06.2024 N 78459.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Указанный перечень дополнен следующими индикаторами риска: </w:t>
      </w:r>
    </w:p>
    <w:p w:rsidR="005B528E" w:rsidRPr="005B528E" w:rsidRDefault="005B528E" w:rsidP="005B528E">
      <w:pPr>
        <w:pStyle w:val="a3"/>
        <w:jc w:val="both"/>
        <w:rPr>
          <w:rFonts w:ascii="Times New Roman" w:hAnsi="Times New Roman" w:cs="Times New Roman"/>
          <w:sz w:val="24"/>
          <w:szCs w:val="24"/>
          <w:lang w:eastAsia="ru-RU"/>
        </w:rPr>
      </w:pPr>
      <w:r w:rsidRPr="005B528E">
        <w:rPr>
          <w:rFonts w:ascii="Times New Roman" w:hAnsi="Times New Roman" w:cs="Times New Roman"/>
          <w:sz w:val="24"/>
          <w:szCs w:val="24"/>
          <w:lang w:eastAsia="ru-RU"/>
        </w:rPr>
        <w:t xml:space="preserve">наличие у органа государственного пожарного надзора заключения о независимой оценке пожарного риска с выводом о невыполнении требований пожарной безопасности и (или) несоблюдении противопожарного режима и одновременное наличие расчета по оценке пожарного риска, поступившего в орган государственного пожарного надзора в течение года, предшествующего году поступления указанного заключения, содержащего выводы о </w:t>
      </w:r>
      <w:proofErr w:type="spellStart"/>
      <w:r w:rsidRPr="005B528E">
        <w:rPr>
          <w:rFonts w:ascii="Times New Roman" w:hAnsi="Times New Roman" w:cs="Times New Roman"/>
          <w:sz w:val="24"/>
          <w:szCs w:val="24"/>
          <w:lang w:eastAsia="ru-RU"/>
        </w:rPr>
        <w:t>непревышении</w:t>
      </w:r>
      <w:proofErr w:type="spellEnd"/>
      <w:r w:rsidRPr="005B528E">
        <w:rPr>
          <w:rFonts w:ascii="Times New Roman" w:hAnsi="Times New Roman" w:cs="Times New Roman"/>
          <w:sz w:val="24"/>
          <w:szCs w:val="24"/>
          <w:lang w:eastAsia="ru-RU"/>
        </w:rPr>
        <w:t xml:space="preserve"> нормативного значения величины индивидуального пожарного риска; </w:t>
      </w:r>
    </w:p>
    <w:p w:rsidR="005B528E" w:rsidRPr="005B528E" w:rsidRDefault="005B528E" w:rsidP="005B528E">
      <w:pPr>
        <w:pStyle w:val="a3"/>
        <w:jc w:val="both"/>
        <w:rPr>
          <w:rFonts w:ascii="Times New Roman" w:hAnsi="Times New Roman" w:cs="Times New Roman"/>
          <w:sz w:val="24"/>
          <w:szCs w:val="24"/>
          <w:lang w:eastAsia="ru-RU"/>
        </w:rPr>
      </w:pPr>
      <w:r w:rsidRPr="005B528E">
        <w:rPr>
          <w:rFonts w:ascii="Times New Roman" w:hAnsi="Times New Roman" w:cs="Times New Roman"/>
          <w:sz w:val="24"/>
          <w:szCs w:val="24"/>
          <w:lang w:eastAsia="ru-RU"/>
        </w:rPr>
        <w:t xml:space="preserve">наличие у органа государственного пожарного надзора заключения о независимой оценке пожарного риска с выводом о выполнении требований пожарной безопасности и соблюдении противопожарного режима и одновременное наличие расчета по оценке пожарного риска, поступившего в орган государственного пожарного надзора в течение года, предшествующего году поступления указанного заключения, содержащего выводы о превышении нормативного значения величины индивидуального пожарного риска.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lastRenderedPageBreak/>
        <w:t>1 сентября 2024 г. устанавливается перечень объектов, предназначенных для осуществления рекреационной деятельности на землях рекреационного назначения</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342A3F42" wp14:editId="3D918440">
                  <wp:extent cx="114300" cy="142875"/>
                  <wp:effectExtent l="0" t="0" r="0" b="9525"/>
                  <wp:docPr id="13" name="Рисунок 13" descr="C:\Users\Sorotskaia.S.S\AppData\Local\Microsoft\Windows\INetCache\Content.MSO\1A6BD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rotskaia.S.S\AppData\Local\Microsoft\Windows\INetCache\Content.MSO\1A6BDE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Распоряжение Правительства РФ от 01.06.2024 N 1372-р</w:t>
            </w:r>
            <w:r w:rsidRPr="005B528E">
              <w:rPr>
                <w:rFonts w:ascii="Times New Roman" w:eastAsia="Times New Roman" w:hAnsi="Times New Roman" w:cs="Times New Roman"/>
                <w:sz w:val="21"/>
                <w:szCs w:val="21"/>
                <w:lang w:eastAsia="ru-RU"/>
              </w:rPr>
              <w:br/>
              <w:t xml:space="preserve">&lt;Об утверждении перечня объектов, предназначенных для осуществления рекреационной деятельности на землях рекреационного значения&gt;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В перечень включены, в числе прочего, гостиницы и иные средства размещения, площадки для массовых мероприятий, летние кинотеатры, музеи, лагеря отдыха и оздоровления детей, аттракционы, аквапарки, бассейны, пляжи и инфраструктура для организации пляжного отдыха, горнолыжные комплексы и лыжные трассы, объекты общественного питания, зоопарки, объекты коммунально-бытовой, транспортной и инженерной инфраструктуры (в том числе магазины, билетные кассы, фотоателье, контейнеры-мусоросборники, урны, прачечные, химчистки, парикмахерские, стоянки автомобильного транспорта).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Расширен перечень индикаторов риска нарушения обязательных требований при осуществлении федерального государственного пожарного надзора</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0E226C0D" wp14:editId="2703D1BC">
                  <wp:extent cx="114300" cy="142875"/>
                  <wp:effectExtent l="0" t="0" r="0" b="9525"/>
                  <wp:docPr id="18" name="Рисунок 18" descr="C:\Users\Sorotskaia.S.S\AppData\Local\Microsoft\Windows\INetCache\Content.MSO\64EC7E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orotskaia.S.S\AppData\Local\Microsoft\Windows\INetCache\Content.MSO\64EC7EF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Приказ МЧС России от 08.04.2024 N 294</w:t>
            </w:r>
            <w:r w:rsidRPr="005B528E">
              <w:rPr>
                <w:rFonts w:ascii="Times New Roman" w:eastAsia="Times New Roman" w:hAnsi="Times New Roman" w:cs="Times New Roman"/>
                <w:sz w:val="21"/>
                <w:szCs w:val="21"/>
                <w:lang w:eastAsia="ru-RU"/>
              </w:rPr>
              <w:br/>
              <w:t>"О внесении изменений в перечень индикаторов риска нарушения обязательных требований при осуществлении федерального государственного пожарного надзора, утвержденный приказом МЧС России от 7 июня 2021 г. N 364"</w:t>
            </w:r>
            <w:r w:rsidRPr="005B528E">
              <w:rPr>
                <w:rFonts w:ascii="Times New Roman" w:eastAsia="Times New Roman" w:hAnsi="Times New Roman" w:cs="Times New Roman"/>
                <w:sz w:val="21"/>
                <w:szCs w:val="21"/>
                <w:lang w:eastAsia="ru-RU"/>
              </w:rPr>
              <w:br/>
              <w:t xml:space="preserve">Зарегистрировано в Минюсте России 04.06.2024 N 78459.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Указанный перечень дополнен следующими индикаторами риска: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наличие у органа государственного пожарного надзора заключения о независимой оценке пожарного риска с выводом о невыполнении требований пожарной безопасности и (или) несоблюдении противопожарного режима и одновременное наличие расчета по оценке пожарного риска, поступившего в орган государственного пожарного надзора в течение года, предшествующего году поступления указанного заключения, содержащего выводы о </w:t>
      </w:r>
      <w:proofErr w:type="spellStart"/>
      <w:r w:rsidRPr="005B528E">
        <w:rPr>
          <w:rFonts w:ascii="Times New Roman" w:eastAsia="Times New Roman" w:hAnsi="Times New Roman" w:cs="Times New Roman"/>
          <w:sz w:val="24"/>
          <w:szCs w:val="24"/>
          <w:lang w:eastAsia="ru-RU"/>
        </w:rPr>
        <w:t>непревышении</w:t>
      </w:r>
      <w:proofErr w:type="spellEnd"/>
      <w:r w:rsidRPr="005B528E">
        <w:rPr>
          <w:rFonts w:ascii="Times New Roman" w:eastAsia="Times New Roman" w:hAnsi="Times New Roman" w:cs="Times New Roman"/>
          <w:sz w:val="24"/>
          <w:szCs w:val="24"/>
          <w:lang w:eastAsia="ru-RU"/>
        </w:rPr>
        <w:t xml:space="preserve"> нормативного значения величины индивидуального пожарного риска;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наличие у органа государственного пожарного надзора заключения о независимой оценке пожарного риска с выводом о выполнении требований пожарной безопасности и соблюдении противопожарного режима и одновременное наличие расчета по оценке пожарного риска, поступившего в орган государственного пожарного надзора в течение года, предшествующего году поступления указанного заключения, содержащего выводы о превышении нормативного значения величины индивидуального пожарного риска.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Актуализирована форма документа, подтверждающего строительство или реконструкцию объекта ИЖС, в результате которых общая площадь жилого помещения увеличивается не менее чем на учетную норму площади жилого помещения, устанавливаемую в соответствии с жилищным законодательством</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5997F647" wp14:editId="2FF15C91">
                  <wp:extent cx="114300" cy="142875"/>
                  <wp:effectExtent l="0" t="0" r="0" b="9525"/>
                  <wp:docPr id="1" name="Рисунок 1" descr="C:\Users\Sorotskaia.S.S\AppData\Local\Microsoft\Windows\INetCache\Content.MSO\380088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orotskaia.S.S\AppData\Local\Microsoft\Windows\INetCache\Content.MSO\3800887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jc w:val="both"/>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Приказ Минстроя России от 24.04.2024 N 285/</w:t>
            </w:r>
            <w:proofErr w:type="spellStart"/>
            <w:r w:rsidRPr="005B528E">
              <w:rPr>
                <w:rFonts w:ascii="Times New Roman" w:eastAsia="Times New Roman" w:hAnsi="Times New Roman" w:cs="Times New Roman"/>
                <w:sz w:val="21"/>
                <w:szCs w:val="21"/>
                <w:lang w:eastAsia="ru-RU"/>
              </w:rPr>
              <w:t>пр</w:t>
            </w:r>
            <w:proofErr w:type="spellEnd"/>
            <w:r w:rsidRPr="005B528E">
              <w:rPr>
                <w:rFonts w:ascii="Times New Roman" w:eastAsia="Times New Roman" w:hAnsi="Times New Roman" w:cs="Times New Roman"/>
                <w:sz w:val="21"/>
                <w:szCs w:val="21"/>
                <w:lang w:eastAsia="ru-RU"/>
              </w:rPr>
              <w:b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w:t>
            </w:r>
            <w:r w:rsidRPr="005B528E">
              <w:rPr>
                <w:rFonts w:ascii="Times New Roman" w:eastAsia="Times New Roman" w:hAnsi="Times New Roman" w:cs="Times New Roman"/>
                <w:sz w:val="21"/>
                <w:szCs w:val="21"/>
                <w:lang w:eastAsia="ru-RU"/>
              </w:rPr>
              <w:lastRenderedPageBreak/>
              <w:t>строительства либо реконструкции дома блокированной застройки,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5B528E">
              <w:rPr>
                <w:rFonts w:ascii="Times New Roman" w:eastAsia="Times New Roman" w:hAnsi="Times New Roman" w:cs="Times New Roman"/>
                <w:sz w:val="21"/>
                <w:szCs w:val="21"/>
                <w:lang w:eastAsia="ru-RU"/>
              </w:rPr>
              <w:br/>
              <w:t xml:space="preserve">Зарегистрировано в Минюсте России 31.05.2024 N 78382.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lastRenderedPageBreak/>
        <w:t xml:space="preserve">Форма утверждена в соответствии с Постановлением Правительства РФ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по реконструкции дома блокированной застройки, осуществляемых с привлечением средств материнского (семейного) капитала".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Признан не подлежащим применению приказ Минстроя России от 8 июня 2021 г. N 362/</w:t>
      </w:r>
      <w:proofErr w:type="spellStart"/>
      <w:r w:rsidRPr="005B528E">
        <w:rPr>
          <w:rFonts w:ascii="Times New Roman" w:eastAsia="Times New Roman" w:hAnsi="Times New Roman" w:cs="Times New Roman"/>
          <w:sz w:val="24"/>
          <w:szCs w:val="24"/>
          <w:lang w:eastAsia="ru-RU"/>
        </w:rPr>
        <w:t>пр</w:t>
      </w:r>
      <w:proofErr w:type="spellEnd"/>
      <w:r w:rsidRPr="005B528E">
        <w:rPr>
          <w:rFonts w:ascii="Times New Roman" w:eastAsia="Times New Roman" w:hAnsi="Times New Roman" w:cs="Times New Roman"/>
          <w:sz w:val="24"/>
          <w:szCs w:val="24"/>
          <w:lang w:eastAsia="ru-RU"/>
        </w:rPr>
        <w:t xml:space="preserve">, регулирующий аналогичные правоотношения.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Разъяснены особенности внесения платы за принадлежащие одному собственнику жилые помещения в многоквартирном доме</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35CFED8A" wp14:editId="1B6FA4DA">
                  <wp:extent cx="114300" cy="142875"/>
                  <wp:effectExtent l="0" t="0" r="0" b="9525"/>
                  <wp:docPr id="20" name="Рисунок 20" descr="C:\Users\Sorotskaia.S.S\AppData\Local\Microsoft\Windows\INetCache\Content.MSO\E2F6F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orotskaia.S.S\AppData\Local\Microsoft\Windows\INetCache\Content.MSO\E2F6F9E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Сообщается, в частности, что основание и порядок внесения платы за жилое помещение определены статьей 155 ЖК РФ, из содержания которой можно сделать вывод о том, что платежные документы на внесение платы за жилое помещение и коммунальные услуги предоставляются собственнику жилого помещения в многоквартирном доме.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При этом собственник нескольких помещений в многоквартирном доме вправе обратиться в адрес лица, осуществляющего управление многоквартирным домом, в целях заключения с ним единого договора на внесение платы за жилое помещение и коммунальные услуги в отношении принадлежащих ему помещений в многоквартирном доме и, соответственно, получения платежного документа в соответствии с договором.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 xml:space="preserve">ФАС России разъясняет особенности подключения (технологического присоединения) домовладений, расположенных в границах территории садоводства, к газораспределительным сетям в рамках </w:t>
      </w:r>
      <w:proofErr w:type="spellStart"/>
      <w:r w:rsidRPr="005B528E">
        <w:rPr>
          <w:rFonts w:ascii="Times New Roman" w:eastAsia="Times New Roman" w:hAnsi="Times New Roman" w:cs="Times New Roman"/>
          <w:b/>
          <w:bCs/>
          <w:sz w:val="24"/>
          <w:szCs w:val="24"/>
          <w:lang w:eastAsia="ru-RU"/>
        </w:rPr>
        <w:t>догазификации</w:t>
      </w:r>
      <w:proofErr w:type="spellEnd"/>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04D8A89E" wp14:editId="7CC0FF5A">
                  <wp:extent cx="114300" cy="142875"/>
                  <wp:effectExtent l="0" t="0" r="0" b="9525"/>
                  <wp:docPr id="21" name="Рисунок 21" descr="C:\Users\Sorotskaia.S.S\AppData\Local\Microsoft\Windows\INetCache\Content.MSO\BC3E48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orotskaia.S.S\AppData\Local\Microsoft\Windows\INetCache\Content.MSO\BC3E48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&lt;Письмо&gt; ФАС России от 30.05.2024 N ВК/46727/24</w:t>
            </w:r>
            <w:r w:rsidRPr="005B528E">
              <w:rPr>
                <w:rFonts w:ascii="Times New Roman" w:eastAsia="Times New Roman" w:hAnsi="Times New Roman" w:cs="Times New Roman"/>
                <w:sz w:val="21"/>
                <w:szCs w:val="21"/>
                <w:lang w:eastAsia="ru-RU"/>
              </w:rPr>
              <w:br/>
              <w:t xml:space="preserve">"О направлении рекомендаций"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Документ подготовлен в связи с вступлением в силу Постановления Правительства РФ от 16.04.2024 N 484 "О внесении изменений в некоторые акты Правительства Российской Федерации", предусматривающего изменения, касающиеся расширения программы </w:t>
      </w:r>
      <w:proofErr w:type="spellStart"/>
      <w:r w:rsidRPr="005B528E">
        <w:rPr>
          <w:rFonts w:ascii="Times New Roman" w:eastAsia="Times New Roman" w:hAnsi="Times New Roman" w:cs="Times New Roman"/>
          <w:sz w:val="24"/>
          <w:szCs w:val="24"/>
          <w:lang w:eastAsia="ru-RU"/>
        </w:rPr>
        <w:t>догазификации</w:t>
      </w:r>
      <w:proofErr w:type="spellEnd"/>
      <w:r w:rsidRPr="005B528E">
        <w:rPr>
          <w:rFonts w:ascii="Times New Roman" w:eastAsia="Times New Roman" w:hAnsi="Times New Roman" w:cs="Times New Roman"/>
          <w:sz w:val="24"/>
          <w:szCs w:val="24"/>
          <w:lang w:eastAsia="ru-RU"/>
        </w:rPr>
        <w:t xml:space="preserve"> в отношении домовладений, расположенных в границах территории ведения гражданами садоводства для собственных нужд.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Предложен механизм предоставления дополнительного дня отдыха за работу в выходной или нерабочий праздничный день</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06C974F1" wp14:editId="426069EA">
                  <wp:extent cx="114300" cy="142875"/>
                  <wp:effectExtent l="0" t="0" r="0" b="9525"/>
                  <wp:docPr id="22" name="Рисунок 22" descr="C:\Users\Sorotskaia.S.S\AppData\Local\Microsoft\Windows\INetCache\Content.MSO\B8FC06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rotskaia.S.S\AppData\Local\Microsoft\Windows\INetCache\Content.MSO\B8FC06A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 xml:space="preserve">Проект Федерального закона N 638766-8 "О внесении изменений в статью 153 Трудового кодекса Российской Федерации"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lastRenderedPageBreak/>
        <w:t xml:space="preserve">В соответствии с законопроектом такой день отдыха может быть использован в течение года со дня работы в выходной или праздничный день либо присоединен к отпуску.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Также устанавливается порядок повышенной оплаты неиспользованного дополнительного дня (дней) отдыха в день увольнения.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Предполагается, что закон вступит в силу с 1 марта 2025 года.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Утверждены справочники, используемые в сфере трудовой миграции и социальной защиты</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7997F639" wp14:editId="2680DD9B">
                  <wp:extent cx="114300" cy="142875"/>
                  <wp:effectExtent l="0" t="0" r="0" b="9525"/>
                  <wp:docPr id="23" name="Рисунок 23" descr="C:\Users\Sorotskaia.S.S\AppData\Local\Microsoft\Windows\INetCache\Content.MSO\834740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rotskaia.S.S\AppData\Local\Microsoft\Windows\INetCache\Content.MSO\834740F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Решение Коллегии Евразийской экономической комиссии от 28.05.2024 N 60</w:t>
            </w:r>
            <w:r w:rsidRPr="005B528E">
              <w:rPr>
                <w:rFonts w:ascii="Times New Roman" w:eastAsia="Times New Roman" w:hAnsi="Times New Roman" w:cs="Times New Roman"/>
                <w:sz w:val="21"/>
                <w:szCs w:val="21"/>
                <w:lang w:eastAsia="ru-RU"/>
              </w:rPr>
              <w:br/>
              <w:t xml:space="preserve">"О справочниках, используемых в сфере трудовой миграции и социальной защиты"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Справочники включены в состав ресурсов единой системы нормативно-справочной информации ЕАЭС и применяются с даты вступления настоящего Решения в силу.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Использование кодовых обозначений справочников является обязательным при реализации общих процессов в рамках Союза в сфере трудовой миграции. </w:t>
      </w:r>
    </w:p>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Настоящее Решение вступает в силу по истечении 90 календарных дней с даты его официального опубликования. </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  </w:t>
      </w:r>
    </w:p>
    <w:p w:rsidR="005B528E" w:rsidRDefault="005B528E" w:rsidP="005B528E">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B528E" w:rsidRPr="005B528E" w:rsidRDefault="005B528E" w:rsidP="005B528E">
      <w:pPr>
        <w:spacing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b/>
          <w:bCs/>
          <w:sz w:val="24"/>
          <w:szCs w:val="24"/>
          <w:lang w:eastAsia="ru-RU"/>
        </w:rPr>
        <w:t>Даны разъяснения по вопросу о праве педагогических работников, занимающих должность "советник директора по воспитанию и взаимодействию с детскими общественными объединениями", на ежегодный основной удлиненный оплачиваемый отпуск</w:t>
      </w:r>
      <w:r w:rsidRPr="005B528E">
        <w:rPr>
          <w:rFonts w:ascii="Times New Roman" w:eastAsia="Times New Roman" w:hAnsi="Times New Roman" w:cs="Times New Roman"/>
          <w:sz w:val="24"/>
          <w:szCs w:val="24"/>
          <w:lang w:eastAsia="ru-RU"/>
        </w:rPr>
        <w:t xml:space="preserve"> </w:t>
      </w:r>
    </w:p>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B528E" w:rsidRPr="005B528E" w:rsidTr="005B528E">
        <w:tc>
          <w:tcPr>
            <w:tcW w:w="180" w:type="dxa"/>
            <w:tcMar>
              <w:top w:w="0" w:type="dxa"/>
              <w:left w:w="0" w:type="dxa"/>
              <w:bottom w:w="0" w:type="dxa"/>
              <w:right w:w="150" w:type="dxa"/>
            </w:tcMar>
            <w:hideMark/>
          </w:tcPr>
          <w:p w:rsidR="005B528E" w:rsidRPr="005B528E" w:rsidRDefault="005B528E" w:rsidP="005B528E">
            <w:pPr>
              <w:spacing w:after="0" w:line="168" w:lineRule="atLeast"/>
              <w:rPr>
                <w:rFonts w:ascii="Times New Roman" w:eastAsia="Times New Roman" w:hAnsi="Times New Roman" w:cs="Times New Roman"/>
                <w:sz w:val="17"/>
                <w:szCs w:val="17"/>
                <w:lang w:eastAsia="ru-RU"/>
              </w:rPr>
            </w:pPr>
            <w:r w:rsidRPr="005B528E">
              <w:rPr>
                <w:rFonts w:ascii="Times New Roman" w:hAnsi="Times New Roman" w:cs="Times New Roman"/>
                <w:noProof/>
                <w:sz w:val="24"/>
                <w:szCs w:val="24"/>
              </w:rPr>
              <w:drawing>
                <wp:inline distT="0" distB="0" distL="0" distR="0" wp14:anchorId="55CDDD25" wp14:editId="35F51CBD">
                  <wp:extent cx="114300" cy="142875"/>
                  <wp:effectExtent l="0" t="0" r="0" b="9525"/>
                  <wp:docPr id="2" name="Рисунок 2" descr="C:\Users\Sorotskaia.S.S\AppData\Local\Microsoft\Windows\INetCache\Content.MSO\2131E1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orotskaia.S.S\AppData\Local\Microsoft\Windows\INetCache\Content.MSO\2131E12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B528E" w:rsidRPr="005B528E" w:rsidRDefault="005B528E" w:rsidP="005B528E">
            <w:pPr>
              <w:spacing w:after="0" w:line="288" w:lineRule="atLeast"/>
              <w:rPr>
                <w:rFonts w:ascii="Times New Roman" w:eastAsia="Times New Roman" w:hAnsi="Times New Roman" w:cs="Times New Roman"/>
                <w:sz w:val="21"/>
                <w:szCs w:val="21"/>
                <w:lang w:eastAsia="ru-RU"/>
              </w:rPr>
            </w:pPr>
            <w:r w:rsidRPr="005B528E">
              <w:rPr>
                <w:rFonts w:ascii="Times New Roman" w:eastAsia="Times New Roman" w:hAnsi="Times New Roman" w:cs="Times New Roman"/>
                <w:sz w:val="21"/>
                <w:szCs w:val="21"/>
                <w:lang w:eastAsia="ru-RU"/>
              </w:rPr>
              <w:t xml:space="preserve">&lt;Письмо&gt; </w:t>
            </w:r>
            <w:proofErr w:type="spellStart"/>
            <w:r w:rsidRPr="005B528E">
              <w:rPr>
                <w:rFonts w:ascii="Times New Roman" w:eastAsia="Times New Roman" w:hAnsi="Times New Roman" w:cs="Times New Roman"/>
                <w:sz w:val="21"/>
                <w:szCs w:val="21"/>
                <w:lang w:eastAsia="ru-RU"/>
              </w:rPr>
              <w:t>Минпросвещения</w:t>
            </w:r>
            <w:proofErr w:type="spellEnd"/>
            <w:r w:rsidRPr="005B528E">
              <w:rPr>
                <w:rFonts w:ascii="Times New Roman" w:eastAsia="Times New Roman" w:hAnsi="Times New Roman" w:cs="Times New Roman"/>
                <w:sz w:val="21"/>
                <w:szCs w:val="21"/>
                <w:lang w:eastAsia="ru-RU"/>
              </w:rPr>
              <w:t xml:space="preserve"> России от 03.06.2024 N ТВ-889/08</w:t>
            </w:r>
            <w:r w:rsidRPr="005B528E">
              <w:rPr>
                <w:rFonts w:ascii="Times New Roman" w:eastAsia="Times New Roman" w:hAnsi="Times New Roman" w:cs="Times New Roman"/>
                <w:sz w:val="21"/>
                <w:szCs w:val="21"/>
                <w:lang w:eastAsia="ru-RU"/>
              </w:rPr>
              <w:br/>
              <w:t xml:space="preserve">"О направлении разъяснений" </w:t>
            </w:r>
          </w:p>
        </w:tc>
      </w:tr>
    </w:tbl>
    <w:p w:rsidR="005B528E" w:rsidRP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Сообщается, в частности, что Постановление Правительства РФ от 3 апреля 2024 г. N 415 "О ежегодных основных удлиненных оплачиваемых отпусках" (далее - Постановление N 415), устанавливающее продолжительность ежегодных основных удлиненных оплачиваемых отпусков работникам, замещающим должности педагогических работников, в том числе должность "советник директора по воспитанию и взаимодействию с детскими общественными объединениями", вступает в силу с 1 сентября 2024 года. Пунктом 2 Постановления N 415 предусмотрено, что оно распространяется на правоотношения, возникшие со дня вступления в силу Постановления Правительства РФ от 21 февраля 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части указанной должности педагогического работника, то есть со 2 марта 2022 года. </w:t>
      </w:r>
    </w:p>
    <w:p w:rsidR="005B528E" w:rsidRDefault="005B528E" w:rsidP="005B528E">
      <w:pPr>
        <w:spacing w:before="168" w:after="0" w:line="288" w:lineRule="atLeast"/>
        <w:jc w:val="both"/>
        <w:rPr>
          <w:rFonts w:ascii="Times New Roman" w:eastAsia="Times New Roman" w:hAnsi="Times New Roman" w:cs="Times New Roman"/>
          <w:sz w:val="24"/>
          <w:szCs w:val="24"/>
          <w:lang w:eastAsia="ru-RU"/>
        </w:rPr>
      </w:pPr>
      <w:r w:rsidRPr="005B528E">
        <w:rPr>
          <w:rFonts w:ascii="Times New Roman" w:eastAsia="Times New Roman" w:hAnsi="Times New Roman" w:cs="Times New Roman"/>
          <w:sz w:val="24"/>
          <w:szCs w:val="24"/>
          <w:lang w:eastAsia="ru-RU"/>
        </w:rPr>
        <w:t xml:space="preserve">Таким образом, педагогические работники, занимающие должность "советник директора по воспитанию и взаимодействию с детскими общественными объединениями", имеют право на отпуск продолжительностью, установленной Постановлением N 415, в том числе за периоды работы со 2 марта 2022 г. по 31 августа 2024 г., с 1 сентября 2024 года.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Верховным Судом представлен обзор судебной практики рассмотрения гражданских дел, связанных с нарушением авторских и смежных прав в сети "Интернет"</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lastRenderedPageBreak/>
              <w:drawing>
                <wp:inline distT="0" distB="0" distL="0" distR="0" wp14:anchorId="11737A45" wp14:editId="59C4765C">
                  <wp:extent cx="114300" cy="142875"/>
                  <wp:effectExtent l="0" t="0" r="0" b="9525"/>
                  <wp:docPr id="3" name="Рисунок 3" descr="C:\Users\Sorotskaia.S.S\AppData\Local\Microsoft\Windows\INetCache\Content.MSO\1B808D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rotskaia.S.S\AppData\Local\Microsoft\Windows\INetCache\Content.MSO\1B808D5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"Обзор судебной практики рассмотрения гражданских дел, связанных с нарушением авторских и смежных прав в информационно-телекоммуникационной сети "Интернет"</w:t>
            </w:r>
            <w:r w:rsidRPr="0059724F">
              <w:rPr>
                <w:rFonts w:ascii="Times New Roman" w:eastAsia="Times New Roman" w:hAnsi="Times New Roman" w:cs="Times New Roman"/>
                <w:sz w:val="21"/>
                <w:szCs w:val="21"/>
                <w:lang w:eastAsia="ru-RU"/>
              </w:rPr>
              <w:br/>
              <w:t xml:space="preserve">(утв. Президиумом Верховного Суда РФ 29.05.2024)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В обзоре, охватывающем практику рассмотрения судами общей юрисдикции и </w:t>
      </w:r>
      <w:proofErr w:type="gramStart"/>
      <w:r w:rsidRPr="0059724F">
        <w:rPr>
          <w:rFonts w:ascii="Times New Roman" w:eastAsia="Times New Roman" w:hAnsi="Times New Roman" w:cs="Times New Roman"/>
          <w:sz w:val="24"/>
          <w:szCs w:val="24"/>
          <w:lang w:eastAsia="ru-RU"/>
        </w:rPr>
        <w:t>арбитражными судами</w:t>
      </w:r>
      <w:proofErr w:type="gramEnd"/>
      <w:r w:rsidRPr="0059724F">
        <w:rPr>
          <w:rFonts w:ascii="Times New Roman" w:eastAsia="Times New Roman" w:hAnsi="Times New Roman" w:cs="Times New Roman"/>
          <w:sz w:val="24"/>
          <w:szCs w:val="24"/>
          <w:lang w:eastAsia="ru-RU"/>
        </w:rPr>
        <w:t xml:space="preserve"> дел по указанным спорам в 2019 - 2023 годах, приведены, в частности, следующие правовые позиции: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права на музыкальное произведение с текстом, являющееся единым объектом, подлежат защите в случае неправомерного использования данного текста в сети "Интернет" в составе другого музыкального произведения с текстом;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дизайн сайта в сети "Интернет" может быть отнесен к объектам авторского права, если судом установлено, что эта форма выражения информации является результатом творческого труда автора;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предоставление права использования объекта авторских и (или) смежных прав на определенном сайте в сети "Интернет" само по себе не подразумевает разрешения лицензиату использовать данный объект на иных сайтах;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течение срока исковой давности по требованию о взыскании компенсации за нарушение авторских прав в сети "Интернет" начинается не с момента неправомерного размещения объекта авторских прав в сети "Интернет", а со дня, когда обладатель исключительного права узнал или должен был узнать о нарушении своего права и о том, кто является надлежащим ответчиком.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Верховным Судом проведено обобщение практики рассмотрения судами в 2023 году дел об усыновлении детей - граждан РФ иностранцами, а также гражданами РФ, постоянно проживающими за ее пределами</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16266BD5" wp14:editId="3B7541C8">
                  <wp:extent cx="114300" cy="142875"/>
                  <wp:effectExtent l="0" t="0" r="0" b="9525"/>
                  <wp:docPr id="4" name="Рисунок 4" descr="C:\Users\Sorotskaia.S.S\AppData\Local\Microsoft\Windows\INetCache\Content.MSO\5C730E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rotskaia.S.S\AppData\Local\Microsoft\Windows\INetCache\Content.MSO\5C730E7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"Обзор практики рассмотрения в 2023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w:t>
            </w:r>
            <w:r w:rsidRPr="0059724F">
              <w:rPr>
                <w:rFonts w:ascii="Times New Roman" w:eastAsia="Times New Roman" w:hAnsi="Times New Roman" w:cs="Times New Roman"/>
                <w:sz w:val="21"/>
                <w:szCs w:val="21"/>
                <w:lang w:eastAsia="ru-RU"/>
              </w:rPr>
              <w:br/>
              <w:t xml:space="preserve">(утв. Президиумом Верховного Суда РФ 29.05.2024)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Обобщение судебной практики показало, что при рассмотрении указанной категории дел судами соблюдаются требования действующего законодательства, регулирующего вопросы усыновления детей, а также учитываются разъяснения, данные в постановлении Пленума Верховного Суда от 20 апреля 2006 года N 8 "О применении судами законодательства при рассмотрении дел об усыновлении (удочерении) детей" с изменениями, внесенными постановлением Пленума Верховного Суда от 17 декабря 2013 года N 37.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В частности, отмечено следующее: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учитывая положения статьи 57 СК РФ и статьи 12 Конвенции о правах ребенка, все суды в судебном заседании обязательно выясняли мнение детей, достигших возраста десяти лет, по вопросу их усыновления;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если суд приходил к выводу о том, что дети более младшего возраста в силу своего развития могут сформулировать свои взгляды по вопросам их усыновления, то они также опрашивались в судебном заседании;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lastRenderedPageBreak/>
        <w:t xml:space="preserve">- суды во всех случаях проверяли, отвечают ли возраст усыновляемого и состояние его здоровья рекомендациям, которые даны усыновителям в социально-психологическом отчете или в свидетельстве о способности быть усыновителями;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по всем делам судами исследовался вопрос о прохождении кандидатами в усыновители подготовки в порядке, установленном пунктом 6 статьи 127 СК РФ.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Актуализированы формы мониторинга реализации субъектами РФ региональных программ капитального ремонта общего имущества в многоквартирных домах</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5B0377C9" wp14:editId="60C187F8">
                  <wp:extent cx="114300" cy="142875"/>
                  <wp:effectExtent l="0" t="0" r="0" b="9525"/>
                  <wp:docPr id="14" name="Рисунок 14" descr="C:\Users\Sorotskaia.S.S\AppData\Local\Microsoft\Windows\INetCache\Content.MSO\538113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rotskaia.S.S\AppData\Local\Microsoft\Windows\INetCache\Content.MSO\5381134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Приказ Минстроя России от 01.04.2024 N 231/</w:t>
            </w:r>
            <w:proofErr w:type="spellStart"/>
            <w:r w:rsidRPr="0059724F">
              <w:rPr>
                <w:rFonts w:ascii="Times New Roman" w:eastAsia="Times New Roman" w:hAnsi="Times New Roman" w:cs="Times New Roman"/>
                <w:sz w:val="21"/>
                <w:szCs w:val="21"/>
                <w:lang w:eastAsia="ru-RU"/>
              </w:rPr>
              <w:t>пр</w:t>
            </w:r>
            <w:proofErr w:type="spellEnd"/>
            <w:r w:rsidRPr="0059724F">
              <w:rPr>
                <w:rFonts w:ascii="Times New Roman" w:eastAsia="Times New Roman" w:hAnsi="Times New Roman" w:cs="Times New Roman"/>
                <w:sz w:val="21"/>
                <w:szCs w:val="21"/>
                <w:lang w:eastAsia="ru-RU"/>
              </w:rPr>
              <w:br/>
              <w:t>"О внесении изменений в приказ Министерства строительства и жилищно-коммунального хозяйства Российской Федерации от 1 декабря 2016 г. N 871/</w:t>
            </w:r>
            <w:proofErr w:type="spellStart"/>
            <w:r w:rsidRPr="0059724F">
              <w:rPr>
                <w:rFonts w:ascii="Times New Roman" w:eastAsia="Times New Roman" w:hAnsi="Times New Roman" w:cs="Times New Roman"/>
                <w:sz w:val="21"/>
                <w:szCs w:val="21"/>
                <w:lang w:eastAsia="ru-RU"/>
              </w:rPr>
              <w:t>пр</w:t>
            </w:r>
            <w:proofErr w:type="spellEnd"/>
            <w:r w:rsidRPr="0059724F">
              <w:rPr>
                <w:rFonts w:ascii="Times New Roman" w:eastAsia="Times New Roman" w:hAnsi="Times New Roman" w:cs="Times New Roman"/>
                <w:sz w:val="21"/>
                <w:szCs w:val="21"/>
                <w:lang w:eastAsia="ru-RU"/>
              </w:rPr>
              <w:t xml:space="preserve">"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Приказ издан 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РФ.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В некоторые законодательные акты внесены изменения, направленные на актуализацию положений, регулирующих вопросы трудоустройства отдельных категорий граждан</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2F1736B5" wp14:editId="6DC44BA2">
                  <wp:extent cx="114300" cy="142875"/>
                  <wp:effectExtent l="0" t="0" r="0" b="9525"/>
                  <wp:docPr id="15" name="Рисунок 15" descr="C:\Users\Sorotskaia.S.S\AppData\Local\Microsoft\Windows\INetCache\Content.MSO\48C47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rotskaia.S.S\AppData\Local\Microsoft\Windows\INetCache\Content.MSO\48C474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Федеральный закон от 29.05.2024 N 108-ФЗ</w:t>
            </w:r>
            <w:r w:rsidRPr="0059724F">
              <w:rPr>
                <w:rFonts w:ascii="Times New Roman" w:eastAsia="Times New Roman" w:hAnsi="Times New Roman" w:cs="Times New Roman"/>
                <w:sz w:val="21"/>
                <w:szCs w:val="21"/>
                <w:lang w:eastAsia="ru-RU"/>
              </w:rPr>
              <w:b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Законодательные акты приводятся в соответствие с Федеральным законом от 12 декабря 2023 года N 565-ФЗ "О занятости населения в Российской Федерации".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Законом, в частности, уточнены положения, касающиеся организации специальных рабочих мест для инвалидов, профессиональной ориентации несовершеннолетних, содействия занятости детей-сирот, а также лиц, направленных в органы службы занятости уголовно-исполнительной инспекцией.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Предлагается уточнить положения Трудового кодекса РФ и предусмотреть запрет на заключение срочных трудовых договоров с руководителями структурных подразделений организаций</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289A8BAE" wp14:editId="64D9D827">
                  <wp:extent cx="114300" cy="142875"/>
                  <wp:effectExtent l="0" t="0" r="0" b="9525"/>
                  <wp:docPr id="16" name="Рисунок 16" descr="C:\Users\Sorotskaia.S.S\AppData\Local\Microsoft\Windows\INetCache\Content.MSO\1D30E1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rotskaia.S.S\AppData\Local\Microsoft\Windows\INetCache\Content.MSO\1D30E1F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 xml:space="preserve">Проект Федерального закона N 638815-8 "О внесении изменений в Трудовой кодекс Российской Федерации"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Законопроектом разграничивается статус руководителя организации и руководителя отдельных структурных подразделений организации, а также корректируются вопросы заключения трудового договора с руководителем организации.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В пояснительной записке к законопроекту отмечено, что его принятие позволит сформировать единый подход к истолкованию понятия "руководитель организации", а также обеспечить недопущение заключения срочного трудового договора с работником, замещающим должность руководителя структурного подразделения организации.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lastRenderedPageBreak/>
        <w:t xml:space="preserve">Заключенные до вступления указанных поправок в силу срочные трудовые договоры с руководителями структурных подразделений организаций будут считаться заключенными на неопределенный срок.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Законопроект разработан во исполнение Постановления Конституционного Суда РФ от 19 декабря 2023 года N 59-П.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Организации, осуществляющие деятельность в приоритетных отраслях экономики, могут претендовать на получение субсидии в целях компенсации затрат, связанных с трудоустройством отдельных категорий граждан</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4BED6874" wp14:editId="1542820A">
                  <wp:extent cx="114300" cy="142875"/>
                  <wp:effectExtent l="0" t="0" r="0" b="9525"/>
                  <wp:docPr id="17" name="Рисунок 17" descr="C:\Users\Sorotskaia.S.S\AppData\Local\Microsoft\Windows\INetCache\Content.MSO\18186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rotskaia.S.S\AppData\Local\Microsoft\Windows\INetCache\Content.MSO\18186D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Правительства РФ от 27.05.2024 N 685</w:t>
            </w:r>
            <w:r w:rsidRPr="0059724F">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13 марта 2021 г. N 362"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Соответствующее дополнение внесено в правила предоставления субсидий Фондом пенсионного и социального страхования РФ в 2024 году.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Указанные выше организации должны соответствовать установленным требованиям, предъявляемым к среднемесячному размеру вознаграждений, начисленных в пользу работников, к размеру реализуемого проекта (объем вложений в проект в течение всего срока реализации должен превышать 3 млрд. рублей), а также к объему производства продукции (выполнения работ, оказания услуг) и численности привлекаемых работников (не менее 100 человек).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С 1 сентября 2024 года подлежат применению новые правила выполнения работодателем квоты для приема на работу инвалидов</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6DCD069A" wp14:editId="5D1DE9DD">
                  <wp:extent cx="114300" cy="142875"/>
                  <wp:effectExtent l="0" t="0" r="0" b="9525"/>
                  <wp:docPr id="5" name="Рисунок 5" descr="C:\Users\Sorotskaia.S.S\AppData\Local\Microsoft\Windows\INetCache\Content.MSO\B88E25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orotskaia.S.S\AppData\Local\Microsoft\Windows\INetCache\Content.MSO\B88E255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Правительства РФ от 30.05.2024 N 709</w:t>
            </w:r>
            <w:r w:rsidRPr="0059724F">
              <w:rPr>
                <w:rFonts w:ascii="Times New Roman" w:eastAsia="Times New Roman" w:hAnsi="Times New Roman" w:cs="Times New Roman"/>
                <w:sz w:val="21"/>
                <w:szCs w:val="21"/>
                <w:lang w:eastAsia="ru-RU"/>
              </w:rPr>
              <w:br/>
              <w:t xml:space="preserve">"О порядке выполнения работодателями квоты для приема на работу инвалидов"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Предусмотрено, что выполнение работодателем квоты для приема на работу инвалидов обеспечивается в случаях наличия: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заключенного трудового договора с инвалидом на рабочее место непосредственно у работодателя (при трудоустройстве одного инвалида I группы исполнение квоты считается кратным 2 рабочим местам для трудоустройства инвалидов);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заключенного трудового договора между инвалидом и иной организацией, заключившей соглашение о трудоустройстве инвалида с работодателем, которому установлена квота;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заключенного трудового договора между инвалидом и ИП, заключившим соглашение;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договора возмездного оказания услуг или иного договора с организацией, обеспечивающей для группы организаций выполнение квоты посредством заключения соглашения с иной организацией или ИП, заключенного трудового договора между инвалидом и иной организацией, ИП.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Также документом утверждены правила заключения соглашения о трудоустройстве инвалидов. Оно заключается между работодателем, которому установлена квота для приема на работу инвалидов, и организацией, включая общественные объединения </w:t>
      </w:r>
      <w:r w:rsidRPr="0059724F">
        <w:rPr>
          <w:rFonts w:ascii="Times New Roman" w:eastAsia="Times New Roman" w:hAnsi="Times New Roman" w:cs="Times New Roman"/>
          <w:sz w:val="24"/>
          <w:szCs w:val="24"/>
          <w:lang w:eastAsia="ru-RU"/>
        </w:rPr>
        <w:lastRenderedPageBreak/>
        <w:t xml:space="preserve">инвалидов и образованные ими организации, и индивидуальным предпринимателем. Установлена форма указанного соглашения.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Настоящее постановление вступает в силу с 1 сентября 2024 года. Утвержденные им правила действуют до 1 сентября 2030 года. Признается утратившим силу постановление Правительства от 14 марта 2022 г. N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w:t>
      </w:r>
      <w:r w:rsidRPr="0059724F">
        <w:rPr>
          <w:rFonts w:ascii="Times New Roman" w:eastAsia="Times New Roman" w:hAnsi="Times New Roman" w:cs="Times New Roman"/>
          <w:b/>
          <w:bCs/>
          <w:sz w:val="24"/>
          <w:szCs w:val="24"/>
          <w:lang w:eastAsia="ru-RU"/>
        </w:rPr>
        <w:t>Расширен перечень субъектов РФ, привлечение трудовых ресурсов в которые является приоритетным</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6D832154" wp14:editId="540E4CEE">
                  <wp:extent cx="114300" cy="142875"/>
                  <wp:effectExtent l="0" t="0" r="0" b="9525"/>
                  <wp:docPr id="6" name="Рисунок 6" descr="C:\Users\Sorotskaia.S.S\AppData\Local\Microsoft\Windows\INetCache\Content.MSO\89EDD9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orotskaia.S.S\AppData\Local\Microsoft\Windows\INetCache\Content.MSO\89EDD91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Распоряжение Правительства РФ от 28.05.2024 N 1306-р</w:t>
            </w:r>
            <w:r w:rsidRPr="0059724F">
              <w:rPr>
                <w:rFonts w:ascii="Times New Roman" w:eastAsia="Times New Roman" w:hAnsi="Times New Roman" w:cs="Times New Roman"/>
                <w:sz w:val="21"/>
                <w:szCs w:val="21"/>
                <w:lang w:eastAsia="ru-RU"/>
              </w:rPr>
              <w:br/>
              <w:t xml:space="preserve">&lt;О внесении изменений в распоряжение Правительства РФ от 20.04.2015 N 696-р&gt;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В перечень включены в том числе Республика Карелия, Пермский край, Иркутская область, Ленинградская область.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С 1 сентября 2024 года устанавливаются новые формы предоставления работодателями обязательной информации в государственную службу занятости</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5AA27632" wp14:editId="36FF3929">
                  <wp:extent cx="114300" cy="142875"/>
                  <wp:effectExtent l="0" t="0" r="0" b="9525"/>
                  <wp:docPr id="25" name="Рисунок 25" descr="C:\Users\Sorotskaia.S.S\AppData\Local\Microsoft\Windows\INetCache\Content.MSO\8A43C9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orotskaia.S.S\AppData\Local\Microsoft\Windows\INetCache\Content.MSO\8A43C98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Приказ Минтруда России от 16.04.2024 N 195н</w:t>
            </w:r>
            <w:r w:rsidRPr="0059724F">
              <w:rPr>
                <w:rFonts w:ascii="Times New Roman" w:eastAsia="Times New Roman" w:hAnsi="Times New Roman" w:cs="Times New Roman"/>
                <w:sz w:val="21"/>
                <w:szCs w:val="21"/>
                <w:lang w:eastAsia="ru-RU"/>
              </w:rPr>
              <w:br/>
              <w:t>"Об утверждении форм предоставления работодателями обязательной информации, предусмотренной частью 1 статьи 53 Федерального закона "О занятости населения в Российской Федерации", в государственную службу занятости"</w:t>
            </w:r>
            <w:r w:rsidRPr="0059724F">
              <w:rPr>
                <w:rFonts w:ascii="Times New Roman" w:eastAsia="Times New Roman" w:hAnsi="Times New Roman" w:cs="Times New Roman"/>
                <w:sz w:val="21"/>
                <w:szCs w:val="21"/>
                <w:lang w:eastAsia="ru-RU"/>
              </w:rPr>
              <w:br/>
              <w:t xml:space="preserve">Зарегистрировано в Минюсте России 23.05.2024 N 78243.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Установлены следующие формы, в том числе: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информация о принятии (об изменении, отмене) решения о ликвидации организации,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информация о введении (об изменении, отмене) работодателем режима неполного рабочего дня (смены) и (или) неполной рабочей недели;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информация о простое;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информация о выполнении квоты для приема на работу инвалидов.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С 1 сентября 2024 г. применяется актуализированный профессиональный стандарт "Специалист по надзору и контролю за соблюдением норм содержания объектов железнодорожной инфраструктуры"</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259D3E8C" wp14:editId="40495AAF">
                  <wp:extent cx="114300" cy="142875"/>
                  <wp:effectExtent l="0" t="0" r="0" b="9525"/>
                  <wp:docPr id="26" name="Рисунок 26" descr="C:\Users\Sorotskaia.S.S\AppData\Local\Microsoft\Windows\INetCache\Content.MSO\1F770A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orotskaia.S.S\AppData\Local\Microsoft\Windows\INetCache\Content.MSO\1F770A2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Приказ Минтруда России от 16.04.2024 N 204н</w:t>
            </w:r>
            <w:r w:rsidRPr="0059724F">
              <w:rPr>
                <w:rFonts w:ascii="Times New Roman" w:eastAsia="Times New Roman" w:hAnsi="Times New Roman" w:cs="Times New Roman"/>
                <w:sz w:val="21"/>
                <w:szCs w:val="21"/>
                <w:lang w:eastAsia="ru-RU"/>
              </w:rPr>
              <w:br/>
              <w:t>"Об утверждении профессионального стандарта "Специалист по надзору и контролю за соблюдением норм содержания объектов железнодорожной инфраструктуры"</w:t>
            </w:r>
            <w:r w:rsidRPr="0059724F">
              <w:rPr>
                <w:rFonts w:ascii="Times New Roman" w:eastAsia="Times New Roman" w:hAnsi="Times New Roman" w:cs="Times New Roman"/>
                <w:sz w:val="21"/>
                <w:szCs w:val="21"/>
                <w:lang w:eastAsia="ru-RU"/>
              </w:rPr>
              <w:br/>
              <w:t xml:space="preserve">Зарегистрировано в Минюсте России 24.05.2024 N 78263.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Целью профессиональной деятельности данных специалистов является обеспечение содержания объектов железнодорожной инфраструктуры в состоянии, обеспечивающем безопасность движения поездов.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lastRenderedPageBreak/>
        <w:t xml:space="preserve">Признается утратившим силу приказ Минтруда России от 21 сентября 2020 г. N 627н, которым утвержден аналогичный стандарт.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Настоящий приказ действует до 1 сентября 2030 г.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Увольнение работника, отказавшегося от продолжения работы в другой местности, при отсутствии у работодателя возможности предоставить ему другую работу в той же местности, должно осуществляться по правилам, предусмотренным для случаев ликвидации организации</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30411D95" wp14:editId="738C4798">
                  <wp:extent cx="114300" cy="142875"/>
                  <wp:effectExtent l="0" t="0" r="0" b="9525"/>
                  <wp:docPr id="28" name="Рисунок 28" descr="C:\Users\Sorotskaia.S.S\AppData\Local\Microsoft\Windows\INetCache\Content.MSO\516A7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rotskaia.S.S\AppData\Local\Microsoft\Windows\INetCache\Content.MSO\516A75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Конституционного Суда РФ от 27.04.2024 N 22-П</w:t>
            </w:r>
            <w:r w:rsidRPr="0059724F">
              <w:rPr>
                <w:rFonts w:ascii="Times New Roman" w:eastAsia="Times New Roman" w:hAnsi="Times New Roman" w:cs="Times New Roman"/>
                <w:sz w:val="21"/>
                <w:szCs w:val="21"/>
                <w:lang w:eastAsia="ru-RU"/>
              </w:rPr>
              <w:br/>
              <w:t xml:space="preserve">"По делу о проверке конституционности частей первой - четвертой статьи 74 и пункта 7 части первой статьи 77 Трудового кодекса Российской Федерации в связи с жалобой гражданина М.Х. </w:t>
            </w:r>
            <w:proofErr w:type="spellStart"/>
            <w:r w:rsidRPr="0059724F">
              <w:rPr>
                <w:rFonts w:ascii="Times New Roman" w:eastAsia="Times New Roman" w:hAnsi="Times New Roman" w:cs="Times New Roman"/>
                <w:sz w:val="21"/>
                <w:szCs w:val="21"/>
                <w:lang w:eastAsia="ru-RU"/>
              </w:rPr>
              <w:t>Абдуллоева</w:t>
            </w:r>
            <w:proofErr w:type="spellEnd"/>
            <w:r w:rsidRPr="0059724F">
              <w:rPr>
                <w:rFonts w:ascii="Times New Roman" w:eastAsia="Times New Roman" w:hAnsi="Times New Roman" w:cs="Times New Roman"/>
                <w:sz w:val="21"/>
                <w:szCs w:val="21"/>
                <w:lang w:eastAsia="ru-RU"/>
              </w:rPr>
              <w:t xml:space="preserve">"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Не противоречащими Конституции РФ признаны взаимосвязанные части первая - четвертая статьи 74 и пункт 7 части первой статьи 77 ТК РФ, поскольку по своему конституционно-правовому смыслу они не предполагают изменения работодателем в одностороннем порядке определенного сторонами условия трудового договора о рабочем месте работника, расположенном в другой, отличной от места нахождения работодателя, местности, если это сопряжено с изменением данной местности, а также увольнения такого работника в случае его отказа от продолжения работы в иной местности, чем та, где он работал ранее, по основанию, предусмотренному пунктом 7 части первой статьи 77 ТК РФ.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При отказе работника от продолжения работы на ином рабочем месте, расположенном в другой местности, его увольнение - при отсутствии у работодателя возможности предоставить ему другую работу в той же местности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должно осуществляться по правилам, предусмотренным для случаев ликвидации организации, т.е. по основанию, предусмотренному пунктом 1 части первой статьи 81 ТК РФ, с предоставлением работнику соответствующих гарантий.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С 1 сентября 2024 года упрощается порядок допуска организаций к деятельности по проведению специальной оценки условий труда</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4D18AE0D" wp14:editId="015CDCC9">
                  <wp:extent cx="114300" cy="142875"/>
                  <wp:effectExtent l="0" t="0" r="0" b="9525"/>
                  <wp:docPr id="29" name="Рисунок 29" descr="C:\Users\Sorotskaia.S.S\AppData\Local\Microsoft\Windows\INetCache\Content.MSO\A6900C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rotskaia.S.S\AppData\Local\Microsoft\Windows\INetCache\Content.MSO\A6900C8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Правительства РФ от 25.04.2024 N 537</w:t>
            </w:r>
            <w:r w:rsidRPr="0059724F">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16 декабря 2021 г. N 2332"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В частности, в заявлении о регистрации в реестре организаций, проводящих СОУТ, не нужно будет указывать ОГРН.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Уточняется вид электронной подписи, которой подписывается заявление о регистрации в реестре.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Информирование о принятом по результатам рассмотрения заявления о регистрации решении будет осуществляться в день его принятия, а срок рассмотрения заявления о регистрации не сможет продлеваться.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Уточнен размер вознаграждения педагогическим работникам за классное руководство</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46DA0928" wp14:editId="6EFA0138">
                  <wp:extent cx="114300" cy="142875"/>
                  <wp:effectExtent l="0" t="0" r="0" b="9525"/>
                  <wp:docPr id="30" name="Рисунок 30" descr="C:\Users\Sorotskaia.S.S\AppData\Local\Microsoft\Windows\INetCache\Content.MSO\24205F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rotskaia.S.S\AppData\Local\Microsoft\Windows\INetCache\Content.MSO\24205FE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Правительства РФ от 26.04.2024 N 542</w:t>
            </w:r>
            <w:r w:rsidRPr="0059724F">
              <w:rPr>
                <w:rFonts w:ascii="Times New Roman" w:eastAsia="Times New Roman" w:hAnsi="Times New Roman" w:cs="Times New Roman"/>
                <w:sz w:val="21"/>
                <w:szCs w:val="21"/>
                <w:lang w:eastAsia="ru-RU"/>
              </w:rPr>
              <w:br/>
              <w:t xml:space="preserve">"О внесении изменения в постановление Правительства Российской Федерации от 30 декабря 2005 г. N 850"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Так, ежемесячное денежное вознаграждение за классное руководство (кураторство) в населенных пунктах с численностью населения менее 100 тыс. человек установлено в размере 10000 рублей, а в населенных пунктах с численностью населения 100 тыс. человек и более - в размере 5000 рублей.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Действие настоящего постановления распространяется на правоотношения, возникшие с 1 марта 2024 года.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Предлагается продлить для многодетных семей возможность полного или частичного погашения обязательств по ипотечному жилищному кредиту (займу) за счет господдержки</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359E149B" wp14:editId="5FC17E77">
                  <wp:extent cx="114300" cy="142875"/>
                  <wp:effectExtent l="0" t="0" r="0" b="9525"/>
                  <wp:docPr id="31" name="Рисунок 31" descr="C:\Users\Sorotskaia.S.S\AppData\Local\Microsoft\Windows\INetCache\Content.MSO\94ED30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rotskaia.S.S\AppData\Local\Microsoft\Windows\INetCache\Content.MSO\94ED30E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 xml:space="preserve">Проект Федерального закона N 611255-8 "О внесении изменений в статью 1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Речь идет о родителях - гражданах РФ, у которых в период с 1 января 2019 года по 31 декабря 2030 года родились третий ребенок или последующие дети и которые являются заемщиками по ипотечному жилищному кредиту (займу). В рамках господдержки предоставляется возможность полного или частичного погашения обязательств по ипотечному жилищному кредиту (займу) в размере задолженности, но не более 450 тысяч рублей. Кредитный договор (договор займа) должен быть заключен до 1 июля 2031 года.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Установлен порядок предоставления единовременной социальной выплаты для приобретения или строительства жилого помещения родственникам погибших сотрудников отдельных государственных органов - участников СВО</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0C894651" wp14:editId="46B11826">
                  <wp:extent cx="114300" cy="142875"/>
                  <wp:effectExtent l="0" t="0" r="0" b="9525"/>
                  <wp:docPr id="32" name="Рисунок 32" descr="C:\Users\Sorotskaia.S.S\AppData\Local\Microsoft\Windows\INetCache\Content.MSO\A4543B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rotskaia.S.S\AppData\Local\Microsoft\Windows\INetCache\Content.MSO\A4543B2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Постановление Правительства РФ от 20.04.2024 N 517</w:t>
            </w:r>
            <w:r w:rsidRPr="0059724F">
              <w:rPr>
                <w:rFonts w:ascii="Times New Roman" w:eastAsia="Times New Roman" w:hAnsi="Times New Roman" w:cs="Times New Roman"/>
                <w:sz w:val="21"/>
                <w:szCs w:val="21"/>
                <w:lang w:eastAsia="ru-RU"/>
              </w:rPr>
              <w:br/>
              <w:t xml:space="preserve">"О внесении изменения в постановление Правительства Российской Федерации от 24 апреля 2013 г. N 369"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Правила предоставления единовременной социальной выплаты для приобретения или строительства жилого помещения, утвержденные постановлением Правительства РФ от 24.04.2013 N 369, приведены в соответствие с Федеральным законом от 25.12.2023 N 659-ФЗ.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Определены категории физлиц, которые подлежат освобождению от уплаты комиссионного вознаграждения при перечислении платы за ЖКУ</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lastRenderedPageBreak/>
              <w:drawing>
                <wp:inline distT="0" distB="0" distL="0" distR="0" wp14:anchorId="095B5A42" wp14:editId="44B67283">
                  <wp:extent cx="114300" cy="142875"/>
                  <wp:effectExtent l="0" t="0" r="0" b="9525"/>
                  <wp:docPr id="33" name="Рисунок 33" descr="C:\Users\Sorotskaia.S.S\AppData\Local\Microsoft\Windows\INetCache\Content.MSO\A69846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rotskaia.S.S\AppData\Local\Microsoft\Windows\INetCache\Content.MSO\A698461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Распоряжение Правительства РФ от 27.04.2024 N 1059-р</w:t>
            </w:r>
            <w:r w:rsidRPr="0059724F">
              <w:rPr>
                <w:rFonts w:ascii="Times New Roman" w:eastAsia="Times New Roman" w:hAnsi="Times New Roman" w:cs="Times New Roman"/>
                <w:sz w:val="21"/>
                <w:szCs w:val="21"/>
                <w:lang w:eastAsia="ru-RU"/>
              </w:rPr>
              <w:br/>
              <w:t xml:space="preserve">&lt;Об утверждении перечня категорий физических лиц, которые нуждаются в социальной поддержке и подлежат освобождению от комиссионного вознаграждения (вознаграждения) при перечислении платы за жилое помещение и коммунальные услуги, пеней за несвоевременное и (или) неполное внесение платы за жилое помещение и коммунальные услуги&gt;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Распоряжением определено 5 категорий, в числе которых: лица старше 18 лет, входящие в состав многодетной семьи; пенсионеры; инвалиды, ветераны боевых действий; члены семей погибших (умерших) инвалидов войны, участников ВОВ и ветеранов боевых действий. </w:t>
      </w:r>
    </w:p>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Распоряжение вступает в силу с 1 июля 2024 г. </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  </w:t>
      </w:r>
    </w:p>
    <w:p w:rsidR="0059724F" w:rsidRDefault="0059724F" w:rsidP="0059724F">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9724F" w:rsidRPr="0059724F" w:rsidRDefault="0059724F" w:rsidP="0059724F">
      <w:pPr>
        <w:spacing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b/>
          <w:bCs/>
          <w:sz w:val="24"/>
          <w:szCs w:val="24"/>
          <w:lang w:eastAsia="ru-RU"/>
        </w:rPr>
        <w:t>Скорректирован перечень лиц, имеющих право на получение сертификата на маткапитал</w:t>
      </w:r>
      <w:r w:rsidRPr="0059724F">
        <w:rPr>
          <w:rFonts w:ascii="Times New Roman" w:eastAsia="Times New Roman" w:hAnsi="Times New Roman" w:cs="Times New Roman"/>
          <w:sz w:val="24"/>
          <w:szCs w:val="24"/>
          <w:lang w:eastAsia="ru-RU"/>
        </w:rPr>
        <w:t xml:space="preserve"> </w:t>
      </w:r>
    </w:p>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9724F" w:rsidRPr="0059724F" w:rsidTr="0059724F">
        <w:tc>
          <w:tcPr>
            <w:tcW w:w="180" w:type="dxa"/>
            <w:tcMar>
              <w:top w:w="0" w:type="dxa"/>
              <w:left w:w="0" w:type="dxa"/>
              <w:bottom w:w="0" w:type="dxa"/>
              <w:right w:w="150" w:type="dxa"/>
            </w:tcMar>
            <w:hideMark/>
          </w:tcPr>
          <w:p w:rsidR="0059724F" w:rsidRPr="0059724F" w:rsidRDefault="0059724F" w:rsidP="0059724F">
            <w:pPr>
              <w:spacing w:after="0" w:line="168" w:lineRule="atLeast"/>
              <w:rPr>
                <w:rFonts w:ascii="Times New Roman" w:eastAsia="Times New Roman" w:hAnsi="Times New Roman" w:cs="Times New Roman"/>
                <w:sz w:val="17"/>
                <w:szCs w:val="17"/>
                <w:lang w:eastAsia="ru-RU"/>
              </w:rPr>
            </w:pPr>
            <w:r w:rsidRPr="0059724F">
              <w:rPr>
                <w:rFonts w:ascii="Times New Roman" w:eastAsia="Times New Roman" w:hAnsi="Times New Roman" w:cs="Times New Roman"/>
                <w:noProof/>
                <w:sz w:val="24"/>
                <w:szCs w:val="24"/>
                <w:lang w:eastAsia="ru-RU"/>
              </w:rPr>
              <w:drawing>
                <wp:inline distT="0" distB="0" distL="0" distR="0" wp14:anchorId="10A25EBC" wp14:editId="6D44BBEF">
                  <wp:extent cx="114300" cy="142875"/>
                  <wp:effectExtent l="0" t="0" r="0" b="9525"/>
                  <wp:docPr id="34" name="Рисунок 34" descr="C:\Users\Sorotskaia.S.S\AppData\Local\Microsoft\Windows\INetCache\Content.MSO\5F810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rotskaia.S.S\AppData\Local\Microsoft\Windows\INetCache\Content.MSO\5F81053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9724F" w:rsidRPr="0059724F" w:rsidRDefault="0059724F" w:rsidP="0059724F">
            <w:pPr>
              <w:spacing w:after="0" w:line="288" w:lineRule="atLeast"/>
              <w:rPr>
                <w:rFonts w:ascii="Times New Roman" w:eastAsia="Times New Roman" w:hAnsi="Times New Roman" w:cs="Times New Roman"/>
                <w:sz w:val="21"/>
                <w:szCs w:val="21"/>
                <w:lang w:eastAsia="ru-RU"/>
              </w:rPr>
            </w:pPr>
            <w:r w:rsidRPr="0059724F">
              <w:rPr>
                <w:rFonts w:ascii="Times New Roman" w:eastAsia="Times New Roman" w:hAnsi="Times New Roman" w:cs="Times New Roman"/>
                <w:sz w:val="21"/>
                <w:szCs w:val="21"/>
                <w:lang w:eastAsia="ru-RU"/>
              </w:rPr>
              <w:t>Приказ Минтруда России от 28.03.2024 N 152н</w:t>
            </w:r>
            <w:r w:rsidRPr="0059724F">
              <w:rPr>
                <w:rFonts w:ascii="Times New Roman" w:eastAsia="Times New Roman" w:hAnsi="Times New Roman" w:cs="Times New Roman"/>
                <w:sz w:val="21"/>
                <w:szCs w:val="21"/>
                <w:lang w:eastAsia="ru-RU"/>
              </w:rPr>
              <w:br/>
              <w:t>"О внесении изменений в пункт 4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утвержденных приказом Министерства труда и социальной защиты Российской Федерации от 3 августа 2022 г. N 444н"</w:t>
            </w:r>
            <w:r w:rsidRPr="0059724F">
              <w:rPr>
                <w:rFonts w:ascii="Times New Roman" w:eastAsia="Times New Roman" w:hAnsi="Times New Roman" w:cs="Times New Roman"/>
                <w:sz w:val="21"/>
                <w:szCs w:val="21"/>
                <w:lang w:eastAsia="ru-RU"/>
              </w:rPr>
              <w:br/>
              <w:t xml:space="preserve">Зарегистрировано в Минюсте России 02.05.2024 N 78049. </w:t>
            </w:r>
          </w:p>
        </w:tc>
      </w:tr>
    </w:tbl>
    <w:p w:rsidR="0059724F" w:rsidRPr="0059724F" w:rsidRDefault="0059724F" w:rsidP="0059724F">
      <w:pPr>
        <w:spacing w:before="168" w:after="0" w:line="288" w:lineRule="atLeast"/>
        <w:jc w:val="both"/>
        <w:rPr>
          <w:rFonts w:ascii="Times New Roman" w:eastAsia="Times New Roman" w:hAnsi="Times New Roman" w:cs="Times New Roman"/>
          <w:sz w:val="24"/>
          <w:szCs w:val="24"/>
          <w:lang w:eastAsia="ru-RU"/>
        </w:rPr>
      </w:pPr>
      <w:r w:rsidRPr="0059724F">
        <w:rPr>
          <w:rFonts w:ascii="Times New Roman" w:eastAsia="Times New Roman" w:hAnsi="Times New Roman" w:cs="Times New Roman"/>
          <w:sz w:val="24"/>
          <w:szCs w:val="24"/>
          <w:lang w:eastAsia="ru-RU"/>
        </w:rPr>
        <w:t xml:space="preserve">Изменения в Правила выдачи государственных сертификатов на маткапитал внесены в целях реализации положений Федерального закона от 25 декабря 2023 г. N 634-ФЗ, которыми установлено, что дополнительные меры государственной поддержки предоставляются только лицам, имеющим российское гражданство на день рождения ребенка, и только при условии, что ребенок приобрел российское гражданство по факту рождения. </w:t>
      </w:r>
    </w:p>
    <w:p w:rsidR="005054C1" w:rsidRDefault="005054C1" w:rsidP="005054C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Установлен порядок выбора уполномоченным органом кандидатуры арбитражного управляющего при направлении в арбитражный суд заявления о признании должника банкротом</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b/>
                <w:bCs/>
                <w:noProof/>
                <w:sz w:val="24"/>
                <w:szCs w:val="24"/>
                <w:lang w:eastAsia="ru-RU"/>
              </w:rPr>
              <w:drawing>
                <wp:inline distT="0" distB="0" distL="0" distR="0" wp14:anchorId="7A02780D" wp14:editId="71AB4FBD">
                  <wp:extent cx="114300" cy="142875"/>
                  <wp:effectExtent l="0" t="0" r="0" b="9525"/>
                  <wp:docPr id="39" name="Рисунок 39" descr="C:\Users\Sorotskaia.S.S\AppData\Local\Microsoft\Windows\INetCache\Content.MSO\7B686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rotskaia.S.S\AppData\Local\Microsoft\Windows\INetCache\Content.MSO\7B686D4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22.05.2024 N 634</w:t>
            </w:r>
            <w:r w:rsidRPr="005054C1">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29 мая 2004 г. N 257"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Также предусмотрены правила расчета баллов арбитражных управляющих и баллов саморегулируемых организаций арбитражных управляющих в целях выбора федеральным органом исполнительной власти, уполномоченным на представление в деле о банкротстве и в процедурах, применяемых в деле о банкротстве, требований об уплате обязательных платежей и требований РФ по денежным обязательствам, в том числе по выплате капитализированных платежей, кандидатуры арбитражного управляющего при направлении в арбитражный суд заявления о признании должника банкротом.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Постановление вступает в силу по истечении 6 месяцев со дня его официального опубликования.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5054C1" w:rsidRDefault="005054C1" w:rsidP="005054C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Рассмотрен вопрос об удостоверении доверенности на получение сведений из ЕГРН, выданной арбитражным управляющим</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b/>
                <w:bCs/>
                <w:noProof/>
                <w:sz w:val="24"/>
                <w:szCs w:val="24"/>
                <w:lang w:eastAsia="ru-RU"/>
              </w:rPr>
              <w:drawing>
                <wp:inline distT="0" distB="0" distL="0" distR="0" wp14:anchorId="4D40A15C" wp14:editId="4A708472">
                  <wp:extent cx="114300" cy="142875"/>
                  <wp:effectExtent l="0" t="0" r="0" b="9525"/>
                  <wp:docPr id="41" name="Рисунок 41" descr="C:\Users\Sorotskaia.S.S\AppData\Local\Microsoft\Windows\INetCache\Content.MSO\DD893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rotskaia.S.S\AppData\Local\Microsoft\Windows\INetCache\Content.MSO\DD893DA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Росреестра от 08.05.2024 N 13-00457/24</w:t>
            </w:r>
            <w:r w:rsidRPr="005054C1">
              <w:rPr>
                <w:rFonts w:ascii="Times New Roman" w:eastAsia="Times New Roman" w:hAnsi="Times New Roman" w:cs="Times New Roman"/>
                <w:sz w:val="21"/>
                <w:szCs w:val="21"/>
                <w:lang w:eastAsia="ru-RU"/>
              </w:rPr>
              <w:br/>
              <w:t xml:space="preserve">&lt;По вопросу удостоверения доверенности на получение сведений из ЕГРН, выданной арбитражным управляющим&gt;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Сообщается, что для получения сведений, содержащихся в ЕГРН, в том числе ограниченного доступа, представителем арбитражного управляющего должен быть представлен оригинал (либо копия) нотариально удостоверенной доверенности (при этом верность копии такой доверенности в виде бумажного документа должна быть засвидетельствована в нотариальном порядке).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5054C1" w:rsidRDefault="005054C1" w:rsidP="005054C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Ко второму чтению подготовлен законопроект о продлении для многодетных семей возможности полного или частичного погашения обязательств по ипотечному жилищному кредиту (займу) за счет господдержки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b/>
                <w:bCs/>
                <w:noProof/>
                <w:sz w:val="24"/>
                <w:szCs w:val="24"/>
                <w:lang w:eastAsia="ru-RU"/>
              </w:rPr>
              <w:drawing>
                <wp:inline distT="0" distB="0" distL="0" distR="0" wp14:anchorId="437B27AE" wp14:editId="26307C9D">
                  <wp:extent cx="114300" cy="142875"/>
                  <wp:effectExtent l="0" t="0" r="0" b="9525"/>
                  <wp:docPr id="42" name="Рисунок 42" descr="C:\Users\Sorotskaia.S.S\AppData\Local\Microsoft\Windows\INetCache\Content.MSO\B1EDA5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rotskaia.S.S\AppData\Local\Microsoft\Windows\INetCache\Content.MSO\B1EDA5E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Проект Федерального закона N 611255-8 "О внесении изменений в отдельные законодательные акты Российской Федерации и признании утратившим силу пункта 3.3 части 4 статьи 2 Федерального закона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(О внесении изменений в статью 1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13.3 Федерального закона "Об актах гражданского состояния") (в части продления срока реализации мер государственной поддержки) (текст ко второму чтению)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частности, предусматривается, что выплата не может быть использована на приобретение жилого помещения, признанного на дату приобретения в установленном порядке непригодным для проживания. Также предусматривается, что в случае, если кредитный договор заключен гражданином в целях приобретения объекта недвижимости, ранее являвшегося обеспечением обязательств другого гражданина по ипотечному жилищному кредиту, в отношении которого ранее были реализованы меры государственной поддержки, данный гражданин вправе обратиться за предоставлением мер поддержки только по истечении одного года с даты реализации предыдущей меры поддержки.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Кроме того, из перечня субъектов, которые вправе выдавать ипотечные займы, предлагается исключить организации, включенные в перечень уполномоченных единым институтом развития в жилищной сфере организаций, осуществляющих деятельность по предоставлению ипотечных займов. </w:t>
      </w:r>
    </w:p>
    <w:p w:rsidR="00D961F1" w:rsidRDefault="00D961F1" w:rsidP="005054C1">
      <w:pPr>
        <w:spacing w:after="0" w:line="288" w:lineRule="atLeast"/>
        <w:jc w:val="both"/>
        <w:rPr>
          <w:rFonts w:ascii="Times New Roman" w:eastAsia="Times New Roman" w:hAnsi="Times New Roman" w:cs="Times New Roman"/>
          <w:b/>
          <w:bCs/>
          <w:sz w:val="24"/>
          <w:szCs w:val="24"/>
          <w:lang w:eastAsia="ru-RU"/>
        </w:rPr>
      </w:pPr>
    </w:p>
    <w:p w:rsidR="005054C1" w:rsidRDefault="005054C1" w:rsidP="005054C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Установлен порядок выбора уполномоченным органом кандидатуры арбитражного управляющего при направлении в арбитражный суд заявления о признании должника банкротом</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155062B" wp14:editId="7976BA73">
                  <wp:extent cx="114300" cy="142875"/>
                  <wp:effectExtent l="0" t="0" r="0" b="9525"/>
                  <wp:docPr id="35" name="Рисунок 35" descr="C:\Users\Sorotskaia.S.S\AppData\Local\Microsoft\Windows\INetCache\Content.MSO\264AA8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rotskaia.S.S\AppData\Local\Microsoft\Windows\INetCache\Content.MSO\264AA8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22.05.2024 N 634</w:t>
            </w:r>
            <w:r w:rsidRPr="005054C1">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29 мая 2004 г. N 257"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Также предусмотрены правила расчета баллов арбитражных управляющих и баллов саморегулируемых организаций арбитражных управляющих в целях выбора федеральным органом исполнительной власти, уполномоченным на представление в деле о банкротстве </w:t>
      </w:r>
      <w:r w:rsidRPr="005054C1">
        <w:rPr>
          <w:rFonts w:ascii="Times New Roman" w:eastAsia="Times New Roman" w:hAnsi="Times New Roman" w:cs="Times New Roman"/>
          <w:sz w:val="24"/>
          <w:szCs w:val="24"/>
          <w:lang w:eastAsia="ru-RU"/>
        </w:rPr>
        <w:lastRenderedPageBreak/>
        <w:t xml:space="preserve">и в процедурах, применяемых в деле о банкротстве, требований об уплате обязательных платежей и требований РФ по денежным обязательствам, в том числе по выплате капитализированных платежей, кандидатуры арбитражного управляющего при направлении в арбитражный суд заявления о признании должника банкротом. </w:t>
      </w:r>
    </w:p>
    <w:p w:rsid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Постановление вступает в силу по истечении 6 месяцев со дня его официального опубликования.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МВД разъяснило, допустимо ли привлекать к административной ответственности за управление транспортным средством без государственных регистрационных знаков водителей, не поставивших ТС на государственный учет</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2A61240C" wp14:editId="23DA3CA5">
                  <wp:extent cx="114300" cy="142875"/>
                  <wp:effectExtent l="0" t="0" r="0" b="9525"/>
                  <wp:docPr id="68" name="Рисунок 68" descr="C:\Users\Sorotskaia.S.S\AppData\Local\Microsoft\Windows\INetCache\Content.MSO\16DD12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orotskaia.S.S\AppData\Local\Microsoft\Windows\INetCache\Content.MSO\16DD127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МВД России от 13.03.2024 N 1312-П-2126</w:t>
            </w:r>
            <w:r w:rsidRPr="005054C1">
              <w:rPr>
                <w:rFonts w:ascii="Times New Roman" w:eastAsia="Times New Roman" w:hAnsi="Times New Roman" w:cs="Times New Roman"/>
                <w:sz w:val="21"/>
                <w:szCs w:val="21"/>
                <w:lang w:eastAsia="ru-RU"/>
              </w:rPr>
              <w:br/>
              <w:t xml:space="preserve">"О некоторых вопросах квалификации правонарушений, предусмотренных статьями 12.1 и 12.2 КоАП РФ"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Отмечено, что законодательство допускает случаи участия в дорожном движении без постановки на государственный учет транспортных средств, со дня </w:t>
      </w:r>
      <w:proofErr w:type="gramStart"/>
      <w:r w:rsidRPr="005054C1">
        <w:rPr>
          <w:rFonts w:ascii="Times New Roman" w:eastAsia="Times New Roman" w:hAnsi="Times New Roman" w:cs="Times New Roman"/>
          <w:sz w:val="24"/>
          <w:szCs w:val="24"/>
          <w:lang w:eastAsia="ru-RU"/>
        </w:rPr>
        <w:t>приобретения прав владельца</w:t>
      </w:r>
      <w:proofErr w:type="gramEnd"/>
      <w:r w:rsidRPr="005054C1">
        <w:rPr>
          <w:rFonts w:ascii="Times New Roman" w:eastAsia="Times New Roman" w:hAnsi="Times New Roman" w:cs="Times New Roman"/>
          <w:sz w:val="24"/>
          <w:szCs w:val="24"/>
          <w:lang w:eastAsia="ru-RU"/>
        </w:rPr>
        <w:t xml:space="preserve"> которых не прошло 10 дней, в том числе и без государственных регистрационных знаков.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 осуществлении надзора за соблюдением участниками дорожного движения требований законодательства необходимо исключить случаи возбуждения дел об административных правонарушениях по части 2 статьи 12.2 КоАП РФ в отношении водителей, в отношении которых не выполнена обязанность по их регистрации (постановке на государственный учет), в том числе когда транспортное средство было снято с регистрационного учета, и при этом не реализована обязанность по его регистрации в установленный законом срок, либо регистрация транспортного средства прекращена.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 управлении транспортным средством, со дня приобретения прав владельца которого прошло более 10 дней (в том числе если имеются сведения о приобретении прав владельца до даты, указанной в предоставляемом водителем договоре), водитель подлежит административной ответственности за управление транспортным средством, не зарегистрированным в установленном порядке (часть 1 или 1.1 статьи 12.1 КоАП РФ).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 1 апреля 2024 года лица, осуществляющие розничную продажу маркированных товаров с использованием ККТ и не выполняющие обязательных требований по передаче в информационную систему маркировки сведений об обороте таких товаров, могут быть привлечены к административной ответственности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6BB0BB3F" wp14:editId="001D2482">
                  <wp:extent cx="114300" cy="142875"/>
                  <wp:effectExtent l="0" t="0" r="0" b="9525"/>
                  <wp:docPr id="69" name="Рисунок 69" descr="C:\Users\Sorotskaia.S.S\AppData\Local\Microsoft\Windows\INetCache\Content.MSO\A296CD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orotskaia.S.S\AppData\Local\Microsoft\Windows\INetCache\Content.MSO\A296CD4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Минпромторга России от 21.03.2024 N ПЕ-28030/28</w:t>
            </w:r>
            <w:r w:rsidRPr="005054C1">
              <w:rPr>
                <w:rFonts w:ascii="Times New Roman" w:eastAsia="Times New Roman" w:hAnsi="Times New Roman" w:cs="Times New Roman"/>
                <w:sz w:val="21"/>
                <w:szCs w:val="21"/>
                <w:lang w:eastAsia="ru-RU"/>
              </w:rPr>
              <w:br/>
              <w:t xml:space="preserve">"О применении правил запрета розничной продажи на основании данных системы маркировки товаров"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Постановлением Правительства РФ от 21 ноября 2023 г. N 1944 (далее - Постановление N 1944) утверждены правила применения запрета продажи товаров, подлежащих обязательной маркировке средствами идентификации, на основании информации, содержащейся в ГИС мониторинга за оборотом товаров, а также перечень случаев, при которых продажа товаров, подлежащих обязательной маркировке, запрещена на основании информации, содержащейся в ГИС мониторинга (далее - Перечень). В соответствии с Постановлением N 1944, с 1 апреля 2024 г. поэтапно вводится запрет продажи товаров, подлежащих обязательной маркировке, на основании информации, содержащейся в информационной системе маркировки, в случаях, указанных в Перечне.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Для обеспечения соблюдения Постановления N 1944, участникам оборота товаров, осуществляющим розничную продажу маркированных товаров, необходимо: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получить в личном кабинете информационной системы маркировки ключ доступа для осуществления проверок товаров с маркировкой на кассе перед продажей;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обеспечить наличие кассового программного обеспечения, совместимого с режимом запрета продажи на кассе. Обновление кассового программного обеспечения выполняется представителями розничной торговли самостоятельно или с привлечением поставщиков и (или) специализированных организаций;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провести обучение кассиров по работе с режимом запрета продажи на кассе.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В Госдуму внесен законопроект, уточняющий квалификационные требования и требования к деловой репутации, предъявляемые к должностным лицам финансовых организаций</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C4E1983" wp14:editId="4C70D77F">
                  <wp:extent cx="114300" cy="142875"/>
                  <wp:effectExtent l="0" t="0" r="0" b="9525"/>
                  <wp:docPr id="72" name="Рисунок 72" descr="C:\Users\Sorotskaia.S.S\AppData\Local\Microsoft\Windows\INetCache\Content.MSO\ECC70B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orotskaia.S.S\AppData\Local\Microsoft\Windows\INetCache\Content.MSO\ECC70B3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Проект Федерального закона N 588441-8 "О внесении изменений в отдельные законодательные акты Российской Федерации (в части квалификационных требований и требований к деловой репутации должностных лиц финансовой организации)"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Законопроектом, в частности: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уточнен круг лиц, негативный опыт деятельности которых учитывается при оценке соответствия установленным требованиям деловой репутации (так, прямо указывается, что в случае банкротства финансовой организации деловая репутация крупных собственников признается неудовлетворительной);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установлен запрет на передачу полномочий единоличного исполнительного органа и главного бухгалтера кредитной организации, единоличного исполнительного органа финансовой организации юридическому лицу (управляющей организации) или индивидуальному предпринимателю (управляющему);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расширен перечень оснований для признания деловой репутации неудовлетворительной (к таковым отнесены, в том числе: воспрепятствование оцениваемым лицом проведению проверок в соответствии с законодательством по ПОД/ФТ и ФРОМУ либо неисполнение соответствующих предписаний Банка России; неисполнение оцениваемым лицом, являвшимся учредителем (акционером, участником) финансовой организации, предписания Банка России в случае выявления факта неудовлетворительного финансового положения или неудовлетворительной деловой репутации; нахождение оцениваемого лица в перечнях организаций и физлиц, в отношении которых имеются сведения об их причастности к экстремистской деятельности, терроризму или распространению оружия массового уничтожения, составляемых СБ ООН).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Предусмотрены и иные поправки.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Конституционный Суд не допустил ограничения прав граждан на наследование движимого имущества лиц, проживавших и умерших за пределами РФ</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lastRenderedPageBreak/>
              <w:drawing>
                <wp:inline distT="0" distB="0" distL="0" distR="0" wp14:anchorId="2B357E5F" wp14:editId="56B7723C">
                  <wp:extent cx="114300" cy="142875"/>
                  <wp:effectExtent l="0" t="0" r="0" b="9525"/>
                  <wp:docPr id="73" name="Рисунок 73" descr="C:\Users\Sorotskaia.S.S\AppData\Local\Microsoft\Windows\INetCache\Content.MSO\DFAE1E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orotskaia.S.S\AppData\Local\Microsoft\Windows\INetCache\Content.MSO\DFAE1EB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Конституционного Суда РФ от 26.03.2024 N 12-П</w:t>
            </w:r>
            <w:r w:rsidRPr="005054C1">
              <w:rPr>
                <w:rFonts w:ascii="Times New Roman" w:eastAsia="Times New Roman" w:hAnsi="Times New Roman" w:cs="Times New Roman"/>
                <w:sz w:val="21"/>
                <w:szCs w:val="21"/>
                <w:lang w:eastAsia="ru-RU"/>
              </w:rPr>
              <w:br/>
              <w:t xml:space="preserve">"По делу о проверке конституционности пункта 1 статьи 1224 Гражданского кодекса Российской Федерации в связи с жалобой гражданки А.Э. Стаценко"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Пунктом 1 статьи 1110 ГК РФ установлено, что при наследовании имущество умершего переходит к другим лицам в порядке универсального правопреемства, т.е. в неизменном виде как единое целое и в один и тот же момент, а в силу пункта 2 статьи 1152 ГК РФ принятие наследником части наследства означает принятие всего причитающегося ему наследства, в чем бы оно ни заключалось и где бы оно ни находилось. В силу пункта 1 статьи 1224 данного Кодекса наследование движимого имущества подчинено праву страны последнего места жительства наследодателя, а недвижимого - праву страны нахождения имущества.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Если последнее место жительства наследодателя находится за пределами РФ, местом открытия наследства признается место нахождения на территории РФ: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По месту открытия наследства определяется лицо, уполномоченное выдавать свидетельство о праве на наследство, принимать заявление о принятии наследства, а также предпринимать меры по охране наследства и управлению им - нотариус.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частноправовых отношениях, осложненных иностранным элементом, нельзя исключать возникновения риска конфликта при определении объема наследственных прав и их принадлежности. Применительно к российским гражданам такой риск может быть минимизирован путем взаимодействия с компетентными органами других государств. Отдельные вопросы, связанные с наследованием в указанных случаях, могут быть урегулированы в рамках консульских соглашений.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Пункт 1 статьи 1224 ГК РФ не противоречит Конституции РФ, поскольку по своему конституционно-правовому смыслу он не может использоваться нотариусом в качестве основания для отказа в оформлении наследственных прав на принадлежавшее наследодателю - гражданину РФ, имевшему последнее место жительства на территории иностранного государства, движимое имущество, оставшееся на территории РФ, если без такого оформления невозможно дальнейшее осуществление наследником своих прав, а равно не может использоваться в качестве основания для отказа суда в признании права собственности наследника - гражданина РФ на это имущество со ссылкой на то, что такие действия (решения) должны совершаться (приниматься) компетентными органами иностранного государства по последнему месту жительства наследодателя, если в конкретных условиях обращение наследника к данным органам невозможно или существенно затруднено.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Конституционным Судом отмечено следующее: в случае обращения гражданина с заявлением об оформлении наследственных прав в отношении движимого имущества, оставшегося на территории РФ после смерти лица, имевшего последнее место жительства на территории иностранного государства, с которым не заключен международный договор РФ, содержащий положения, позволяющие разрешить вопрос о выборе соответствующего компетентного органа, а равно в случаях, когда сложившиеся обстоятельства объективно препятствуют взаимодействию с компетентным органом иностранного государства и оформлению наследственных прав в подобных ситуациях или существенно затрудняют такое взаимодействие, российский компетентный орган либо исполняющее публичные функции лицо обязаны оценить в совокупности все обстоятельства дела и принять решение, </w:t>
      </w:r>
      <w:r w:rsidRPr="005054C1">
        <w:rPr>
          <w:rFonts w:ascii="Times New Roman" w:eastAsia="Times New Roman" w:hAnsi="Times New Roman" w:cs="Times New Roman"/>
          <w:sz w:val="24"/>
          <w:szCs w:val="24"/>
          <w:lang w:eastAsia="ru-RU"/>
        </w:rPr>
        <w:lastRenderedPageBreak/>
        <w:t xml:space="preserve">которое в наибольшей степени способствовало бы обеспечению защиты наследственных прав. Это решение может быть принято с учетом положений статьи 1115 ГК РФ, определяющих место открытия наследства на территории РФ и принципиально не исключающих оформление прав на наследственное имущество, находящееся на территории РФ, российским компетентным органом.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Федеральный законодатель вправе внести в действующее правовое регулирование наследственных отношений соответствующие изменения.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 1 мая 2024 года устанавливается порядок приоритетного рассмотрения поданных в Роспатент заявок на выдачу патента на изобретение или полезную модель, по которым в качестве заявителя выступает малая технологическая компания</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E3DDCCD" wp14:editId="28DB8A3B">
                  <wp:extent cx="114300" cy="142875"/>
                  <wp:effectExtent l="0" t="0" r="0" b="9525"/>
                  <wp:docPr id="74" name="Рисунок 74" descr="C:\Users\Sorotskaia.S.S\AppData\Local\Microsoft\Windows\INetCache\Content.MSO\948E2A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orotskaia.S.S\AppData\Local\Microsoft\Windows\INetCache\Content.MSO\948E2A2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ФГБУ ФИПС от 15.03.2024 N 120</w:t>
            </w:r>
            <w:r w:rsidRPr="005054C1">
              <w:rPr>
                <w:rFonts w:ascii="Times New Roman" w:eastAsia="Times New Roman" w:hAnsi="Times New Roman" w:cs="Times New Roman"/>
                <w:sz w:val="21"/>
                <w:szCs w:val="21"/>
                <w:lang w:eastAsia="ru-RU"/>
              </w:rPr>
              <w:br/>
              <w:t xml:space="preserve">"Об утверждении Порядка приоритетного рассмотрения заявок на изобретения и полезные модели, заявителем по которым выступает малая технологическая компания"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Настоящий порядок регулирует взаимодействие подразделений Федерального института промышленной собственности (ФИПС) при приоритетном (ускоренном) рассмотрении указанных заявок.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В ряд актов Минюста по вопросам деятельности иностранных агентов внесены изменения</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664C7997" wp14:editId="6AC64F75">
                  <wp:extent cx="114300" cy="142875"/>
                  <wp:effectExtent l="0" t="0" r="0" b="9525"/>
                  <wp:docPr id="75" name="Рисунок 75" descr="C:\Users\Sorotskaia.S.S\AppData\Local\Microsoft\Windows\INetCache\Content.MSO\9C6423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orotskaia.S.S\AppData\Local\Microsoft\Windows\INetCache\Content.MSO\9C64231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Минюста России от 26.03.2024 N 82</w:t>
            </w:r>
            <w:r w:rsidRPr="005054C1">
              <w:rPr>
                <w:rFonts w:ascii="Times New Roman" w:eastAsia="Times New Roman" w:hAnsi="Times New Roman" w:cs="Times New Roman"/>
                <w:sz w:val="21"/>
                <w:szCs w:val="21"/>
                <w:lang w:eastAsia="ru-RU"/>
              </w:rPr>
              <w:br/>
              <w:t>"О внесении изменений в некоторые приказы Минюста России в сфере деятельности иностранных агентов"</w:t>
            </w:r>
            <w:r w:rsidRPr="005054C1">
              <w:rPr>
                <w:rFonts w:ascii="Times New Roman" w:eastAsia="Times New Roman" w:hAnsi="Times New Roman" w:cs="Times New Roman"/>
                <w:sz w:val="21"/>
                <w:szCs w:val="21"/>
                <w:lang w:eastAsia="ru-RU"/>
              </w:rPr>
              <w:br/>
              <w:t xml:space="preserve">Зарегистрировано в Минюсте России 28.03.2024 N 77671.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частности, изменениями: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 5 до 10 рабочих дней увеличен срок издания Минюстом распоряжения о включении лица в единый реестр физических лиц, аффилированных с иностранными агентами;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оптимизирована процедура исключения физического лица, аффилированного с иностранным агентом, из указанного реестра;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закреплено, что в реестр иностранных агентов на электронных носителях включаются также сведения о доменном имени информационного ресурса иностранного агента.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Рассмотрен вопрос об отнесении объектов электросетевого хозяйства к объектам движимого или недвижимого имущества</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1EE17CE2" wp14:editId="6D306821">
                  <wp:extent cx="114300" cy="142875"/>
                  <wp:effectExtent l="0" t="0" r="0" b="9525"/>
                  <wp:docPr id="76" name="Рисунок 76" descr="C:\Users\Sorotskaia.S.S\AppData\Local\Microsoft\Windows\INetCache\Content.MSO\CA681A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orotskaia.S.S\AppData\Local\Microsoft\Windows\INetCache\Content.MSO\CA681AE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Росреестра от 28.12.2023 N 11-03201/23</w:t>
            </w:r>
            <w:r w:rsidRPr="005054C1">
              <w:rPr>
                <w:rFonts w:ascii="Times New Roman" w:eastAsia="Times New Roman" w:hAnsi="Times New Roman" w:cs="Times New Roman"/>
                <w:sz w:val="21"/>
                <w:szCs w:val="21"/>
                <w:lang w:eastAsia="ru-RU"/>
              </w:rPr>
              <w:br/>
              <w:t xml:space="preserve">"О представлении позиции"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Отмечается, </w:t>
      </w:r>
      <w:proofErr w:type="gramStart"/>
      <w:r w:rsidRPr="005054C1">
        <w:rPr>
          <w:rFonts w:ascii="Times New Roman" w:eastAsia="Times New Roman" w:hAnsi="Times New Roman" w:cs="Times New Roman"/>
          <w:sz w:val="24"/>
          <w:szCs w:val="24"/>
          <w:lang w:eastAsia="ru-RU"/>
        </w:rPr>
        <w:t>что в случае если</w:t>
      </w:r>
      <w:proofErr w:type="gramEnd"/>
      <w:r w:rsidRPr="005054C1">
        <w:rPr>
          <w:rFonts w:ascii="Times New Roman" w:eastAsia="Times New Roman" w:hAnsi="Times New Roman" w:cs="Times New Roman"/>
          <w:sz w:val="24"/>
          <w:szCs w:val="24"/>
          <w:lang w:eastAsia="ru-RU"/>
        </w:rPr>
        <w:t xml:space="preserve"> объект не отвечает признакам недвижимости, определенным Гражданским кодексом, не является недвижимым в силу прямого указания закона, не способен выступать в гражданском обороте в качестве отдельного объекта гражданских прав, то такой объект не является объектом недвижимости.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Кроме того, кадастровый инженер обязан отказаться от заключения договора подряда на выполнение кадастровых работ в случае, если объект, в отношении которого заказчик предполагает выполнение таких работ, не является объектом недвижимости, в отношении которого осуществляется кадастровый учет.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Рассмотрен вопрос о регистрации договоров аренды разных частей одного объекта недвижимости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4B80BA93" wp14:editId="2C497B22">
                  <wp:extent cx="114300" cy="142875"/>
                  <wp:effectExtent l="0" t="0" r="0" b="9525"/>
                  <wp:docPr id="77" name="Рисунок 77" descr="C:\Users\Sorotskaia.S.S\AppData\Local\Microsoft\Windows\INetCache\Content.MSO\8E79F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orotskaia.S.S\AppData\Local\Microsoft\Windows\INetCache\Content.MSO\8E79F3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Росреестра от 05.03.2024 N 14-01544/24</w:t>
            </w:r>
            <w:r w:rsidRPr="005054C1">
              <w:rPr>
                <w:rFonts w:ascii="Times New Roman" w:eastAsia="Times New Roman" w:hAnsi="Times New Roman" w:cs="Times New Roman"/>
                <w:sz w:val="21"/>
                <w:szCs w:val="21"/>
                <w:lang w:eastAsia="ru-RU"/>
              </w:rPr>
              <w:br/>
              <w:t xml:space="preserve">&lt;О регистрации договоров аренды разных частей одного объекта недвижимости&gt;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Сообщается, что действующим законодательством, в частности Федеральным законом от 13.07.2015 N 218-ФЗ "О государственной регистрации недвижимости", предусмотрена возможность государственной регистрации договоров аренды разных частей одного объекта недвижимости.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На основании Постановления Конституционного Суда РФ от 19.03.2024 N 11-П Росреестр доводит до сведения членов СРО арбитражных управляющих порядок возмещения судебных расходов, понесенных ответчиками в обособленных спорах в деле о банкротстве и признанных подлежащими возмещению за счет должника</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24827664" wp14:editId="2AAB0F27">
                  <wp:extent cx="114300" cy="142875"/>
                  <wp:effectExtent l="0" t="0" r="0" b="9525"/>
                  <wp:docPr id="78" name="Рисунок 78" descr="C:\Users\Sorotskaia.S.S\AppData\Local\Microsoft\Windows\INetCache\Content.MSO\57EF19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orotskaia.S.S\AppData\Local\Microsoft\Windows\INetCache\Content.MSO\57EF196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Росреестра от 22.03.2024 N 07-01211/24</w:t>
            </w:r>
            <w:r w:rsidRPr="005054C1">
              <w:rPr>
                <w:rFonts w:ascii="Times New Roman" w:eastAsia="Times New Roman" w:hAnsi="Times New Roman" w:cs="Times New Roman"/>
                <w:sz w:val="21"/>
                <w:szCs w:val="21"/>
                <w:lang w:eastAsia="ru-RU"/>
              </w:rPr>
              <w:br/>
              <w:t xml:space="preserve">&lt;О реализации Постановления Конституционного Суда РФ от 19.03.2024 N 11-П&gt;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Впредь до внесения в законодательное регулирование изменений, вытекающих из указанного Постановления, положения пунктов 1 и 2 статьи 5 и пункта 3 статьи 137 Федерального закона от 26.10.2002 N 127-ФЗ "О несостоятельности (банкротстве)" применяются в следующем порядке: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судебные расходы ответчиков по предъявленному в деле о банкротстве юридического лица требованию о признании сделки должника недействительной, в удовлетворении которого было отказано, если такие ответчики не являются контролирующими должника лицами, в случае возложения данных расходов на должника относятся к текущим платежам и подлежат возмещению в составе пятой очереди текущих платежей в соответствии с пунктом 2 статьи 134 Закона о банкротстве;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такое решение об очередности возмещения судебных расходов не исключается и при рассмотрении арбитражным судом вопросов, связанных с возмещением контролирующему должника лицу судебных расходов, понесенных им при рассмотрении требования о его привлечении к предусмотренной Законом о банкротстве ответственности либо требования о признании сделки должника с контролирующим должника лицом недействительной, в удовлетворении которого было отказано, при условии, что применение такой очередности удовлетворения требований о данных расходах обосновано конкретными фактическими обстоятельствами дела (в частности, касающимися особенностей контролирующего должника лица, в том числе характеризующими степень его корпоративного контроля; величиной и обстоятельствами возникновения заявленных к возмещению расходов; наличием или отсутствием в деле о банкротстве независимых кредиторов и т.п.) и не влечет нарушения баланса прав и законных интересов всех лиц, участвующих в деле о банкротстве; такое решение об очередности возмещения судебных расходов во всяком случае должно приниматься при возмещении судебных расходов лицу, в удовлетворении </w:t>
      </w:r>
      <w:r w:rsidRPr="005054C1">
        <w:rPr>
          <w:rFonts w:ascii="Times New Roman" w:eastAsia="Times New Roman" w:hAnsi="Times New Roman" w:cs="Times New Roman"/>
          <w:sz w:val="24"/>
          <w:szCs w:val="24"/>
          <w:lang w:eastAsia="ru-RU"/>
        </w:rPr>
        <w:lastRenderedPageBreak/>
        <w:t xml:space="preserve">требования о привлечении которого к гражданско-правовой ответственности как контролирующего должника лица было отказано в связи с установленным арбитражным судом отсутствием у этого лица соответствующих признаков.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ФНП: единственным документом, подтверждающим право на указанное в нем движимое имущество, является свидетельство о праве на наследство</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C049DC4" wp14:editId="73230F4E">
                  <wp:extent cx="114300" cy="142875"/>
                  <wp:effectExtent l="0" t="0" r="0" b="9525"/>
                  <wp:docPr id="79" name="Рисунок 79" descr="C:\Users\Sorotskaia.S.S\AppData\Local\Microsoft\Windows\INetCache\Content.MSO\C99A2F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orotskaia.S.S\AppData\Local\Microsoft\Windows\INetCache\Content.MSO\C99A2F0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ФНП от 26.03.2024 N 2435/06-06</w:t>
            </w:r>
            <w:r w:rsidRPr="005054C1">
              <w:rPr>
                <w:rFonts w:ascii="Times New Roman" w:eastAsia="Times New Roman" w:hAnsi="Times New Roman" w:cs="Times New Roman"/>
                <w:sz w:val="21"/>
                <w:szCs w:val="21"/>
                <w:lang w:eastAsia="ru-RU"/>
              </w:rPr>
              <w:br/>
              <w:t xml:space="preserve">&lt;По вопросу о документах, на основании которых банк должен выдавать наследникам наследственное имущество&gt;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Именно на основании этого документа банк должен выдавать наследникам наследственное имущество.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 1 апреля 2024 года порядок согласования перепланировок помещений не меняется</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18252DF7" wp14:editId="7DC91825">
                  <wp:extent cx="114300" cy="142875"/>
                  <wp:effectExtent l="0" t="0" r="0" b="9525"/>
                  <wp:docPr id="80" name="Рисунок 80" descr="C:\Users\Sorotskaia.S.S\AppData\Local\Microsoft\Windows\INetCache\Content.MSO\F5A321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orotskaia.S.S\AppData\Local\Microsoft\Windows\INetCache\Content.MSO\F5A321A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&lt;Информация&gt; Росреестра</w:t>
            </w:r>
            <w:r w:rsidRPr="005054C1">
              <w:rPr>
                <w:rFonts w:ascii="Times New Roman" w:eastAsia="Times New Roman" w:hAnsi="Times New Roman" w:cs="Times New Roman"/>
                <w:sz w:val="21"/>
                <w:szCs w:val="21"/>
                <w:lang w:eastAsia="ru-RU"/>
              </w:rPr>
              <w:br/>
              <w:t xml:space="preserve">"Росреестр разъяснил новый закон о перепланировках в многоквартирных домах"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Разъяснены положения Федерального закона от 19.12.2023 N 608-ФЗ "О внесении изменений в Жилищный кодекс Российской Федерации и Федеральный закон "О государственной регистрации недвижимости".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частности, отмечается, что изменения не затрагивают порядка получения согласования перепланировки помещений в многоквартирном доме или принятия решения о переводе жилого помещения в нежилое или нежилого в жилое. Порядок оформления перепланировки, как и ранее, требует подготовки документов и обращения в орган публичной власти, а также внесения последующих изменений в сведения о помещении, в отношении которого была проведена перепланировка. </w:t>
      </w:r>
    </w:p>
    <w:p w:rsidR="00D961F1" w:rsidRPr="00D961F1" w:rsidRDefault="00D961F1" w:rsidP="00D961F1">
      <w:pPr>
        <w:spacing w:before="168" w:after="0" w:line="288" w:lineRule="atLeast"/>
        <w:jc w:val="both"/>
        <w:rPr>
          <w:rFonts w:ascii="Times New Roman" w:eastAsia="Times New Roman" w:hAnsi="Times New Roman" w:cs="Times New Roman"/>
          <w:b/>
          <w:bCs/>
          <w:sz w:val="24"/>
          <w:szCs w:val="24"/>
          <w:lang w:eastAsia="ru-RU"/>
        </w:rPr>
      </w:pPr>
      <w:r w:rsidRPr="00D961F1">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Подписан закон, устанавливающий запрет на сдачу внаем жилья, не оборудованного приборами учета коммунальных ресурсов</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65611453" wp14:editId="117FE3AD">
                  <wp:extent cx="114300" cy="142875"/>
                  <wp:effectExtent l="0" t="0" r="0" b="9525"/>
                  <wp:docPr id="81" name="Рисунок 81" descr="C:\Users\Sorotskaia.S.S\AppData\Local\Microsoft\Windows\INetCache\Content.MSO\C9892E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orotskaia.S.S\AppData\Local\Microsoft\Windows\INetCache\Content.MSO\C9892EA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Федеральный закон от 23.03.2024 N 55-ФЗ</w:t>
            </w:r>
            <w:r w:rsidRPr="005054C1">
              <w:rPr>
                <w:rFonts w:ascii="Times New Roman" w:eastAsia="Times New Roman" w:hAnsi="Times New Roman" w:cs="Times New Roman"/>
                <w:sz w:val="21"/>
                <w:szCs w:val="21"/>
                <w:lang w:eastAsia="ru-RU"/>
              </w:rPr>
              <w:br/>
              <w:t xml:space="preserve">"О внесении изменения в статью 30 Жилищного кодекса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часть 2 статьи 30 ЖК РФ внесены изменения, согласно которым собственник жилого помещения вправе сдавать его гражданам по договору найма (в том числе краткосрочного) или договору безвозмездного пользования, а юридическим лицам - по договору аренды, при условии, что будет обеспечено соблюдение прав и законных интересов соседей, правил пользования жилыми помещениями, правил содержания общего имущества в МКД, требований оснащенности жилья приборами учета используемых энергетических ресурсов, требований к предоставлению коммунальных услуг.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Также закреплено право соседей обратиться в суд в случае, если сдача квартиры нарушает их жилищные права. </w:t>
      </w:r>
    </w:p>
    <w:p w:rsidR="00D961F1" w:rsidRDefault="00D961F1" w:rsidP="005054C1">
      <w:pPr>
        <w:spacing w:after="0" w:line="288" w:lineRule="atLeast"/>
        <w:jc w:val="both"/>
        <w:rPr>
          <w:rFonts w:ascii="Times New Roman" w:eastAsia="Times New Roman" w:hAnsi="Times New Roman" w:cs="Times New Roman"/>
          <w:b/>
          <w:bCs/>
          <w:sz w:val="24"/>
          <w:szCs w:val="24"/>
          <w:lang w:eastAsia="ru-RU"/>
        </w:rPr>
      </w:pP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Внесены изменения в квалификационные требования к медицинским и фармацевтическим работникам с высшим образованием</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lastRenderedPageBreak/>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69AD2779" wp14:editId="7E5F7A44">
                  <wp:extent cx="114300" cy="142875"/>
                  <wp:effectExtent l="0" t="0" r="0" b="9525"/>
                  <wp:docPr id="83" name="Рисунок 83" descr="C:\Users\Sorotskaia.S.S\AppData\Local\Microsoft\Windows\INetCache\Content.MSO\B549B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orotskaia.S.S\AppData\Local\Microsoft\Windows\INetCache\Content.MSO\B549BA0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Минздрава России от 19.02.2024 N 72н</w:t>
            </w:r>
            <w:r w:rsidRPr="005054C1">
              <w:rPr>
                <w:rFonts w:ascii="Times New Roman" w:eastAsia="Times New Roman" w:hAnsi="Times New Roman" w:cs="Times New Roman"/>
                <w:sz w:val="21"/>
                <w:szCs w:val="21"/>
                <w:lang w:eastAsia="ru-RU"/>
              </w:rPr>
              <w:br/>
              <w:t>"О внесении изменений в Квалификационные требования к медицинским и фармацевтическим работникам с высшим образованием, утвержденные приказом Министерства здравоохранения Российской Федерации от 2 мая 2023 г. N 206н"</w:t>
            </w:r>
            <w:r w:rsidRPr="005054C1">
              <w:rPr>
                <w:rFonts w:ascii="Times New Roman" w:eastAsia="Times New Roman" w:hAnsi="Times New Roman" w:cs="Times New Roman"/>
                <w:sz w:val="21"/>
                <w:szCs w:val="21"/>
                <w:lang w:eastAsia="ru-RU"/>
              </w:rPr>
              <w:br/>
              <w:t xml:space="preserve">Зарегистрировано в Минюсте России 25.03.2024 N 77616.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частности, некоторые позиции изложены в новой редакции, в ряд позиций включены дополнительные требования.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Настоящий приказ действует до 1 сентября 2025 года.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 1 апреля 2024 года вступает в силу Порядок проведения профессиональной подготовки работников организации специальной почтовой связи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2D02FCA" wp14:editId="17BA35D5">
                  <wp:extent cx="114300" cy="142875"/>
                  <wp:effectExtent l="0" t="0" r="0" b="9525"/>
                  <wp:docPr id="84" name="Рисунок 84" descr="C:\Users\Sorotskaia.S.S\AppData\Local\Microsoft\Windows\INetCache\Content.MSO\50B6FF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Sorotskaia.S.S\AppData\Local\Microsoft\Windows\INetCache\Content.MSO\50B6FF5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Приказ </w:t>
            </w:r>
            <w:proofErr w:type="spellStart"/>
            <w:r w:rsidRPr="005054C1">
              <w:rPr>
                <w:rFonts w:ascii="Times New Roman" w:eastAsia="Times New Roman" w:hAnsi="Times New Roman" w:cs="Times New Roman"/>
                <w:sz w:val="21"/>
                <w:szCs w:val="21"/>
                <w:lang w:eastAsia="ru-RU"/>
              </w:rPr>
              <w:t>Минцифры</w:t>
            </w:r>
            <w:proofErr w:type="spellEnd"/>
            <w:r w:rsidRPr="005054C1">
              <w:rPr>
                <w:rFonts w:ascii="Times New Roman" w:eastAsia="Times New Roman" w:hAnsi="Times New Roman" w:cs="Times New Roman"/>
                <w:sz w:val="21"/>
                <w:szCs w:val="21"/>
                <w:lang w:eastAsia="ru-RU"/>
              </w:rPr>
              <w:t xml:space="preserve"> России от 22.02.2024 N 136</w:t>
            </w:r>
            <w:r w:rsidRPr="005054C1">
              <w:rPr>
                <w:rFonts w:ascii="Times New Roman" w:eastAsia="Times New Roman" w:hAnsi="Times New Roman" w:cs="Times New Roman"/>
                <w:sz w:val="21"/>
                <w:szCs w:val="21"/>
                <w:lang w:eastAsia="ru-RU"/>
              </w:rPr>
              <w:br/>
              <w:t>"Об утверждении Порядка профессиональной подготовки работников организации специальной почтовой связи"</w:t>
            </w:r>
            <w:r w:rsidRPr="005054C1">
              <w:rPr>
                <w:rFonts w:ascii="Times New Roman" w:eastAsia="Times New Roman" w:hAnsi="Times New Roman" w:cs="Times New Roman"/>
                <w:sz w:val="21"/>
                <w:szCs w:val="21"/>
                <w:lang w:eastAsia="ru-RU"/>
              </w:rPr>
              <w:br/>
              <w:t xml:space="preserve">Зарегистрировано в Минюсте России 25.03.2024 N 77626.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Профессиональная подготовка включает в себя теоретическое и практическое обучение базовым знаниям, умениям и навыкам, необходимым для выполнения работниками должностных обязанностей.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Реализованы положения Федерального закона от 14.11.2023 N 535-ФЗ "О внесении изменений в Федеральный закон "О почтовой связи" и отдельные законодательные акты Российской Федерации".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Существенно расширен перечень видов работ, профессий, должностей, на которых могут быть заняты граждане, проходящие альтернативную гражданскую службу</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77C62242" wp14:editId="42CF48E4">
                  <wp:extent cx="114300" cy="142875"/>
                  <wp:effectExtent l="0" t="0" r="0" b="9525"/>
                  <wp:docPr id="85" name="Рисунок 85" descr="C:\Users\Sorotskaia.S.S\AppData\Local\Microsoft\Windows\INetCache\Content.MSO\1594AD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orotskaia.S.S\AppData\Local\Microsoft\Windows\INetCache\Content.MSO\1594AD2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Минтруда России от 29.02.2024 N 79н</w:t>
            </w:r>
            <w:r w:rsidRPr="005054C1">
              <w:rPr>
                <w:rFonts w:ascii="Times New Roman" w:eastAsia="Times New Roman" w:hAnsi="Times New Roman" w:cs="Times New Roman"/>
                <w:sz w:val="21"/>
                <w:szCs w:val="21"/>
                <w:lang w:eastAsia="ru-RU"/>
              </w:rPr>
              <w:br/>
              <w: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r w:rsidRPr="005054C1">
              <w:rPr>
                <w:rFonts w:ascii="Times New Roman" w:eastAsia="Times New Roman" w:hAnsi="Times New Roman" w:cs="Times New Roman"/>
                <w:sz w:val="21"/>
                <w:szCs w:val="21"/>
                <w:lang w:eastAsia="ru-RU"/>
              </w:rPr>
              <w:br/>
              <w:t xml:space="preserve">Зарегистрировано в Минюсте России 29.03.2024 N 77684.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Также изменения в сторону увеличения внесены в перечень организаций, где предусматривается прохождение альтернативной гражданской службы.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Признается утратившим силу аналогичный Приказ Минтруда России от 24.02.2021 N 85н.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Установлены порядок и периодичность размещения в сети "Интернет" сводной информации о трудоустройстве выпускников организаций, осуществляющих образовательную деятельность</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71D41EE" wp14:editId="71A4C4E2">
                  <wp:extent cx="114300" cy="142875"/>
                  <wp:effectExtent l="0" t="0" r="0" b="9525"/>
                  <wp:docPr id="86" name="Рисунок 86" descr="C:\Users\Sorotskaia.S.S\AppData\Local\Microsoft\Windows\INetCache\Content.MSO\83AF8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orotskaia.S.S\AppData\Local\Microsoft\Windows\INetCache\Content.MSO\83AF8CD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Минтруда России от 01.03.2024 N 82н</w:t>
            </w:r>
            <w:r w:rsidRPr="005054C1">
              <w:rPr>
                <w:rFonts w:ascii="Times New Roman" w:eastAsia="Times New Roman" w:hAnsi="Times New Roman" w:cs="Times New Roman"/>
                <w:sz w:val="21"/>
                <w:szCs w:val="21"/>
                <w:lang w:eastAsia="ru-RU"/>
              </w:rPr>
              <w:br/>
              <w:t xml:space="preserve">"Об утверждении Порядка и периодичности размещения в информационно-телекоммуникационной сети "Интернет" сводной информации о трудоустройстве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w:t>
            </w:r>
            <w:r w:rsidRPr="005054C1">
              <w:rPr>
                <w:rFonts w:ascii="Times New Roman" w:eastAsia="Times New Roman" w:hAnsi="Times New Roman" w:cs="Times New Roman"/>
                <w:sz w:val="21"/>
                <w:szCs w:val="21"/>
                <w:lang w:eastAsia="ru-RU"/>
              </w:rPr>
              <w:lastRenderedPageBreak/>
              <w:t>программам, дополнительным профессиональным программам, программам профессионального обучения"</w:t>
            </w:r>
            <w:r w:rsidRPr="005054C1">
              <w:rPr>
                <w:rFonts w:ascii="Times New Roman" w:eastAsia="Times New Roman" w:hAnsi="Times New Roman" w:cs="Times New Roman"/>
                <w:sz w:val="21"/>
                <w:szCs w:val="21"/>
                <w:lang w:eastAsia="ru-RU"/>
              </w:rPr>
              <w:br/>
              <w:t xml:space="preserve">Зарегистрировано в Минюсте России 28.03.2024 N 77672.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Роструд определен в качестве органа, ответственного за размещение сводной информации о трудоустройстве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Сводная информация формируется в подсистеме "Анализ трудоустройства граждан" Единой цифровой платформы в сфере занятости и трудовых отношений "Работа в России". Она размещается на ежеквартальной основе, начиная с 1 июня 2024 года.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На 2025 и 2026 годы установлены максимальные значения ожидаемого периода выплаты накопительной пенсии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876F5FF" wp14:editId="744B2805">
                  <wp:extent cx="114300" cy="142875"/>
                  <wp:effectExtent l="0" t="0" r="0" b="9525"/>
                  <wp:docPr id="87" name="Рисунок 87" descr="C:\Users\Sorotskaia.S.S\AppData\Local\Microsoft\Windows\INetCache\Content.MSO\25A2A3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orotskaia.S.S\AppData\Local\Microsoft\Windows\INetCache\Content.MSO\25A2A3F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20.03.2024 N 346</w:t>
            </w:r>
            <w:r w:rsidRPr="005054C1">
              <w:rPr>
                <w:rFonts w:ascii="Times New Roman" w:eastAsia="Times New Roman" w:hAnsi="Times New Roman" w:cs="Times New Roman"/>
                <w:sz w:val="21"/>
                <w:szCs w:val="21"/>
                <w:lang w:eastAsia="ru-RU"/>
              </w:rPr>
              <w:br/>
              <w:t xml:space="preserve">"О внесении изменений в постановление Правительства Российской Федерации от 2 июня 2015 г. N 531"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 назначении накопительной пенсии в расчет принимается показатель ожидаемого периода выплаты, который в указанный период не должен превышать 270 месяцев.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Упрощен порядок выдачи удостоверения ветерана боевых действий единого образца лицам, заключившим контракт (имевшим иные правоотношения) с организациями, содействующими выполнению задач, возложенных на Вооруженные Силы РФ, в ходе СВО</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56C7E365" wp14:editId="629B3D7C">
                  <wp:extent cx="114300" cy="142875"/>
                  <wp:effectExtent l="0" t="0" r="0" b="9525"/>
                  <wp:docPr id="88" name="Рисунок 88" descr="C:\Users\Sorotskaia.S.S\AppData\Local\Microsoft\Windows\INetCache\Content.MSO\E5BE94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orotskaia.S.S\AppData\Local\Microsoft\Windows\INetCache\Content.MSO\E5BE941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27.03.2024 N 381</w:t>
            </w:r>
            <w:r w:rsidRPr="005054C1">
              <w:rPr>
                <w:rFonts w:ascii="Times New Roman" w:eastAsia="Times New Roman" w:hAnsi="Times New Roman" w:cs="Times New Roman"/>
                <w:sz w:val="21"/>
                <w:szCs w:val="21"/>
                <w:lang w:eastAsia="ru-RU"/>
              </w:rPr>
              <w:br/>
              <w:t xml:space="preserve">"О внесении изменения в постановление Правительства Российской Федерации от 1 августа 2023 г. N 1242"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Предусмотрена возможность оформления удостоверения без копии контракта или иного документа, подтверждающего правоотношения сотрудника содействующей организации с содействующей организацией.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 xml:space="preserve">Возвращено право на применение </w:t>
      </w:r>
      <w:proofErr w:type="spellStart"/>
      <w:r w:rsidRPr="005054C1">
        <w:rPr>
          <w:rFonts w:ascii="Times New Roman" w:eastAsia="Times New Roman" w:hAnsi="Times New Roman" w:cs="Times New Roman"/>
          <w:b/>
          <w:bCs/>
          <w:sz w:val="24"/>
          <w:szCs w:val="24"/>
          <w:lang w:eastAsia="ru-RU"/>
        </w:rPr>
        <w:t>спецрежимов</w:t>
      </w:r>
      <w:proofErr w:type="spellEnd"/>
      <w:r w:rsidRPr="005054C1">
        <w:rPr>
          <w:rFonts w:ascii="Times New Roman" w:eastAsia="Times New Roman" w:hAnsi="Times New Roman" w:cs="Times New Roman"/>
          <w:b/>
          <w:bCs/>
          <w:sz w:val="24"/>
          <w:szCs w:val="24"/>
          <w:lang w:eastAsia="ru-RU"/>
        </w:rPr>
        <w:t xml:space="preserve"> ювелирами, работающими с серебром, и отменена льгота по НДС при продаже физлицам серебряных слитков</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4D6B7687" wp14:editId="48CE5187">
                  <wp:extent cx="114300" cy="142875"/>
                  <wp:effectExtent l="0" t="0" r="0" b="9525"/>
                  <wp:docPr id="89" name="Рисунок 89" descr="C:\Users\Sorotskaia.S.S\AppData\Local\Microsoft\Windows\INetCache\Content.MSO\4147FA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orotskaia.S.S\AppData\Local\Microsoft\Windows\INetCache\Content.MSO\4147FA9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Федеральный закон от 23.03.2024 N 49-ФЗ</w:t>
            </w:r>
            <w:r w:rsidRPr="005054C1">
              <w:rPr>
                <w:rFonts w:ascii="Times New Roman" w:eastAsia="Times New Roman" w:hAnsi="Times New Roman" w:cs="Times New Roman"/>
                <w:sz w:val="21"/>
                <w:szCs w:val="21"/>
                <w:lang w:eastAsia="ru-RU"/>
              </w:rPr>
              <w:br/>
              <w:t xml:space="preserve">"О внесении изменений в часть вторую Налогового кодекса Российской Федерации и статью 3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При этом льгота по НДС сохраняется при продаже слитков ЦБ, банкам и иным лицам при условии, что слитки остаются в одном из специализированных хранилищ.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Кроме того, закон возвращает возможность применения специальных налоговых режимов (УСН, ПСН, АУСН) для налогоплательщиков, которые занимаются производством и/или реализацией изделий из серебра.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Установлен порядок перехода таких налогоплательщиков на УСН с 1 января 2024 года (при условии уведомления налогового органа до 31 марта 2024 года) и определены особенности применения НДС в этом случае.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Подписан закон о введении налоговых вычетов на долгосрочные сбережения граждан и корректировке вычетов по договорам ИИС</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2EAEF4E8" wp14:editId="519016F0">
                  <wp:extent cx="114300" cy="142875"/>
                  <wp:effectExtent l="0" t="0" r="0" b="9525"/>
                  <wp:docPr id="90" name="Рисунок 90" descr="C:\Users\Sorotskaia.S.S\AppData\Local\Microsoft\Windows\INetCache\Content.MSO\8724D1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Sorotskaia.S.S\AppData\Local\Microsoft\Windows\INetCache\Content.MSO\8724D10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Федеральный закон от 23.03.2024 N 58-ФЗ</w:t>
            </w:r>
            <w:r w:rsidRPr="005054C1">
              <w:rPr>
                <w:rFonts w:ascii="Times New Roman" w:eastAsia="Times New Roman" w:hAnsi="Times New Roman" w:cs="Times New Roman"/>
                <w:sz w:val="21"/>
                <w:szCs w:val="21"/>
                <w:lang w:eastAsia="ru-RU"/>
              </w:rPr>
              <w:br/>
              <w:t xml:space="preserve">"О внесении изменений в статьи 102 и 126.2 части первой и часть вторую Налогового кодекса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Законом действующие налоговые вычеты по ИИС1 (в части сумм денежных средств, внесенных на счет), а также ИИС2 (в части полученного финансового результата) сохранены в отношении договоров, заключенных до 31 декабря 2023 года.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Исключен инвестиционный налоговый вычет в отношении доходов от продажи ценных бумаг иностранных эмитентов, за исключением ценных бумаг, эмитированных в соответствии с законодательством государства - члена ЕАЭС.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Предусмотрено положение, согласно которому не признается выплатой дохода налогоплательщику перечисление денежных средств, учитываемых на его ИИС, открытом после 1 января 2024 года, медицинским организациям или ИП, осуществляющим медицинскую деятельность, в счет оплаты дорогостоящего лечения.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Введена статья 219.2 НК РФ, устанавливающая основания, порядок предоставления налоговых вычетов на долгосрочные сбережения граждан, а также их максимальные значения.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Отменена пошлина за госрегистрацию транспортных средств, пожертвованных для гуманитарных миссий и нужд СВО</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8F63649" wp14:editId="0D9B170C">
                  <wp:extent cx="114300" cy="142875"/>
                  <wp:effectExtent l="0" t="0" r="0" b="9525"/>
                  <wp:docPr id="91" name="Рисунок 91" descr="C:\Users\Sorotskaia.S.S\AppData\Local\Microsoft\Windows\INetCache\Content.MSO\86D0CC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orotskaia.S.S\AppData\Local\Microsoft\Windows\INetCache\Content.MSO\86D0CCF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Федеральный закон от 23.03.2024 N 65-ФЗ</w:t>
            </w:r>
            <w:r w:rsidRPr="005054C1">
              <w:rPr>
                <w:rFonts w:ascii="Times New Roman" w:eastAsia="Times New Roman" w:hAnsi="Times New Roman" w:cs="Times New Roman"/>
                <w:sz w:val="21"/>
                <w:szCs w:val="21"/>
                <w:lang w:eastAsia="ru-RU"/>
              </w:rPr>
              <w:br/>
              <w:t xml:space="preserve">"О внесении изменения в статью 333.35 части второй Налогового кодекса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Согласно внесенному дополнению госпошлина не взимается за совершение юридически значимых действий, предусмотренных подпунктами 36 - 40, 41.2, 46 - 46.3, 59 - 61, 65 - 67 пункта 1 статьи 333.33 НК РФ, в отношении техники, безвозмездно полученной по договору пожертвования для осуществления решения транспортных задач в интересах гуманитарных миссий и отдельных задач в сфере обороны и безопасности на территориях ДНР, ЛНР, Запорожской и Херсонской областей.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До конца 2026 года предлагается продлить срок действия пониженных страховых взносов для НКО, осуществляющих социально значимые виды деятельности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lastRenderedPageBreak/>
              <w:drawing>
                <wp:inline distT="0" distB="0" distL="0" distR="0" wp14:anchorId="688D455D" wp14:editId="7C5C5722">
                  <wp:extent cx="114300" cy="142875"/>
                  <wp:effectExtent l="0" t="0" r="0" b="9525"/>
                  <wp:docPr id="92" name="Рисунок 92" descr="C:\Users\Sorotskaia.S.S\AppData\Local\Microsoft\Windows\INetCache\Content.MSO\E230BF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Sorotskaia.S.S\AppData\Local\Microsoft\Windows\INetCache\Content.MSO\E230BFC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Проект Федерального закона "О внесении изменения в статью 427 части второй Налогового кодекса Российской Федерации" (не внесен в ГД ФС РФ)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Речь идет о некоммерческих организациях (НКО), указанных в подпункте 7 пункта 1 статьи 427 Налогового кодекса РФ: НКО (за исключением бюджетных учреждений), применяющих УСН и осуществляющих деятельность в области социального обслуживания граждан, научных исследований и разработок, образования, здравоохранения, культуры, искусства и массового спорта.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Действующими положениями НК РФ данная мера господдержки установлена только на 2023 и 2024 годы.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Установлены показатели, необходимые для целей определения ставок НДПИ и вывозных таможенных пошлин на нефть</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EAAFF7E" wp14:editId="197A8545">
                  <wp:extent cx="114300" cy="142875"/>
                  <wp:effectExtent l="0" t="0" r="0" b="9525"/>
                  <wp:docPr id="93" name="Рисунок 93" descr="C:\Users\Sorotskaia.S.S\AppData\Local\Microsoft\Windows\INetCache\Content.MSO\89CF7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orotskaia.S.S\AppData\Local\Microsoft\Windows\INetCache\Content.MSO\89CF71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22.03.2024 N 363</w:t>
            </w:r>
            <w:r w:rsidRPr="005054C1">
              <w:rPr>
                <w:rFonts w:ascii="Times New Roman" w:eastAsia="Times New Roman" w:hAnsi="Times New Roman" w:cs="Times New Roman"/>
                <w:sz w:val="21"/>
                <w:szCs w:val="21"/>
                <w:lang w:eastAsia="ru-RU"/>
              </w:rPr>
              <w:br/>
              <w:t xml:space="preserve">"Об установлении прогнозной величины уменьшения значения показателя </w:t>
            </w:r>
            <w:proofErr w:type="spellStart"/>
            <w:r w:rsidRPr="005054C1">
              <w:rPr>
                <w:rFonts w:ascii="Times New Roman" w:eastAsia="Times New Roman" w:hAnsi="Times New Roman" w:cs="Times New Roman"/>
                <w:sz w:val="21"/>
                <w:szCs w:val="21"/>
                <w:lang w:eastAsia="ru-RU"/>
              </w:rPr>
              <w:t>Цнсд</w:t>
            </w:r>
            <w:proofErr w:type="spellEnd"/>
            <w:r w:rsidRPr="005054C1">
              <w:rPr>
                <w:rFonts w:ascii="Times New Roman" w:eastAsia="Times New Roman" w:hAnsi="Times New Roman" w:cs="Times New Roman"/>
                <w:sz w:val="21"/>
                <w:szCs w:val="21"/>
                <w:lang w:eastAsia="ru-RU"/>
              </w:rPr>
              <w:t xml:space="preserve"> и величины уменьшения средней цены на нефть сырую марки "</w:t>
            </w:r>
            <w:proofErr w:type="spellStart"/>
            <w:r w:rsidRPr="005054C1">
              <w:rPr>
                <w:rFonts w:ascii="Times New Roman" w:eastAsia="Times New Roman" w:hAnsi="Times New Roman" w:cs="Times New Roman"/>
                <w:sz w:val="21"/>
                <w:szCs w:val="21"/>
                <w:lang w:eastAsia="ru-RU"/>
              </w:rPr>
              <w:t>North</w:t>
            </w:r>
            <w:proofErr w:type="spellEnd"/>
            <w:r w:rsidRPr="005054C1">
              <w:rPr>
                <w:rFonts w:ascii="Times New Roman" w:eastAsia="Times New Roman" w:hAnsi="Times New Roman" w:cs="Times New Roman"/>
                <w:sz w:val="21"/>
                <w:szCs w:val="21"/>
                <w:lang w:eastAsia="ru-RU"/>
              </w:rPr>
              <w:t xml:space="preserve"> </w:t>
            </w:r>
            <w:proofErr w:type="spellStart"/>
            <w:r w:rsidRPr="005054C1">
              <w:rPr>
                <w:rFonts w:ascii="Times New Roman" w:eastAsia="Times New Roman" w:hAnsi="Times New Roman" w:cs="Times New Roman"/>
                <w:sz w:val="21"/>
                <w:szCs w:val="21"/>
                <w:lang w:eastAsia="ru-RU"/>
              </w:rPr>
              <w:t>Sea</w:t>
            </w:r>
            <w:proofErr w:type="spellEnd"/>
            <w:r w:rsidRPr="005054C1">
              <w:rPr>
                <w:rFonts w:ascii="Times New Roman" w:eastAsia="Times New Roman" w:hAnsi="Times New Roman" w:cs="Times New Roman"/>
                <w:sz w:val="21"/>
                <w:szCs w:val="21"/>
                <w:lang w:eastAsia="ru-RU"/>
              </w:rPr>
              <w:t xml:space="preserve"> </w:t>
            </w:r>
            <w:proofErr w:type="spellStart"/>
            <w:r w:rsidRPr="005054C1">
              <w:rPr>
                <w:rFonts w:ascii="Times New Roman" w:eastAsia="Times New Roman" w:hAnsi="Times New Roman" w:cs="Times New Roman"/>
                <w:sz w:val="21"/>
                <w:szCs w:val="21"/>
                <w:lang w:eastAsia="ru-RU"/>
              </w:rPr>
              <w:t>Dated</w:t>
            </w:r>
            <w:proofErr w:type="spellEnd"/>
            <w:r w:rsidRPr="005054C1">
              <w:rPr>
                <w:rFonts w:ascii="Times New Roman" w:eastAsia="Times New Roman" w:hAnsi="Times New Roman" w:cs="Times New Roman"/>
                <w:sz w:val="21"/>
                <w:szCs w:val="21"/>
                <w:lang w:eastAsia="ru-RU"/>
              </w:rPr>
              <w:t xml:space="preserve">" на рынке Северного моря"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Для целей применения: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пункта 3 статьи 342 НК РФ прогнозная величина уменьшения значения показателя </w:t>
      </w:r>
      <w:proofErr w:type="spellStart"/>
      <w:r w:rsidRPr="005054C1">
        <w:rPr>
          <w:rFonts w:ascii="Times New Roman" w:eastAsia="Times New Roman" w:hAnsi="Times New Roman" w:cs="Times New Roman"/>
          <w:sz w:val="24"/>
          <w:szCs w:val="24"/>
          <w:lang w:eastAsia="ru-RU"/>
        </w:rPr>
        <w:t>Цнсд</w:t>
      </w:r>
      <w:proofErr w:type="spellEnd"/>
      <w:r w:rsidRPr="005054C1">
        <w:rPr>
          <w:rFonts w:ascii="Times New Roman" w:eastAsia="Times New Roman" w:hAnsi="Times New Roman" w:cs="Times New Roman"/>
          <w:sz w:val="24"/>
          <w:szCs w:val="24"/>
          <w:lang w:eastAsia="ru-RU"/>
        </w:rPr>
        <w:t xml:space="preserve"> на период с 1 января по 31 декабря 2024 г. включительно установлена в размере 20 долларов США;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пункта 3 статьи 3.1 Закона о таможенном тарифе величина уменьшения средней цены на нефть сырую марки "</w:t>
      </w:r>
      <w:proofErr w:type="spellStart"/>
      <w:r w:rsidRPr="005054C1">
        <w:rPr>
          <w:rFonts w:ascii="Times New Roman" w:eastAsia="Times New Roman" w:hAnsi="Times New Roman" w:cs="Times New Roman"/>
          <w:sz w:val="24"/>
          <w:szCs w:val="24"/>
          <w:lang w:eastAsia="ru-RU"/>
        </w:rPr>
        <w:t>North</w:t>
      </w:r>
      <w:proofErr w:type="spellEnd"/>
      <w:r w:rsidRPr="005054C1">
        <w:rPr>
          <w:rFonts w:ascii="Times New Roman" w:eastAsia="Times New Roman" w:hAnsi="Times New Roman" w:cs="Times New Roman"/>
          <w:sz w:val="24"/>
          <w:szCs w:val="24"/>
          <w:lang w:eastAsia="ru-RU"/>
        </w:rPr>
        <w:t xml:space="preserve"> </w:t>
      </w:r>
      <w:proofErr w:type="spellStart"/>
      <w:r w:rsidRPr="005054C1">
        <w:rPr>
          <w:rFonts w:ascii="Times New Roman" w:eastAsia="Times New Roman" w:hAnsi="Times New Roman" w:cs="Times New Roman"/>
          <w:sz w:val="24"/>
          <w:szCs w:val="24"/>
          <w:lang w:eastAsia="ru-RU"/>
        </w:rPr>
        <w:t>Sea</w:t>
      </w:r>
      <w:proofErr w:type="spellEnd"/>
      <w:r w:rsidRPr="005054C1">
        <w:rPr>
          <w:rFonts w:ascii="Times New Roman" w:eastAsia="Times New Roman" w:hAnsi="Times New Roman" w:cs="Times New Roman"/>
          <w:sz w:val="24"/>
          <w:szCs w:val="24"/>
          <w:lang w:eastAsia="ru-RU"/>
        </w:rPr>
        <w:t xml:space="preserve"> </w:t>
      </w:r>
      <w:proofErr w:type="spellStart"/>
      <w:r w:rsidRPr="005054C1">
        <w:rPr>
          <w:rFonts w:ascii="Times New Roman" w:eastAsia="Times New Roman" w:hAnsi="Times New Roman" w:cs="Times New Roman"/>
          <w:sz w:val="24"/>
          <w:szCs w:val="24"/>
          <w:lang w:eastAsia="ru-RU"/>
        </w:rPr>
        <w:t>Dated</w:t>
      </w:r>
      <w:proofErr w:type="spellEnd"/>
      <w:r w:rsidRPr="005054C1">
        <w:rPr>
          <w:rFonts w:ascii="Times New Roman" w:eastAsia="Times New Roman" w:hAnsi="Times New Roman" w:cs="Times New Roman"/>
          <w:sz w:val="24"/>
          <w:szCs w:val="24"/>
          <w:lang w:eastAsia="ru-RU"/>
        </w:rPr>
        <w:t xml:space="preserve">" на рынке Северного моря для периодов мониторинга с 15 ноября 2023 г. по 14 ноября 2024 г. включительно установлена в размере 146 долларов США за 1 тонну.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Утверждены новые форма и формат представления уведомления о невозможности представления в установленные сроки документов (информации) в электронной форме</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51183E2B" wp14:editId="0505DC71">
                  <wp:extent cx="114300" cy="142875"/>
                  <wp:effectExtent l="0" t="0" r="0" b="9525"/>
                  <wp:docPr id="94" name="Рисунок 94" descr="C:\Users\Sorotskaia.S.S\AppData\Local\Microsoft\Windows\INetCache\Content.MSO\AB3A9C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Sorotskaia.S.S\AppData\Local\Microsoft\Windows\INetCache\Content.MSO\AB3A9C4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ФНС России от 21.02.2024 N СД-7-2/148@</w:t>
            </w:r>
            <w:r w:rsidRPr="005054C1">
              <w:rPr>
                <w:rFonts w:ascii="Times New Roman" w:eastAsia="Times New Roman" w:hAnsi="Times New Roman" w:cs="Times New Roman"/>
                <w:sz w:val="21"/>
                <w:szCs w:val="21"/>
                <w:lang w:eastAsia="ru-RU"/>
              </w:rPr>
              <w:br/>
              <w:t>"Об утверждении формы и формата представления уведомления о невозможности представления в установленные сроки документов (информации) в электронной форме"</w:t>
            </w:r>
            <w:r w:rsidRPr="005054C1">
              <w:rPr>
                <w:rFonts w:ascii="Times New Roman" w:eastAsia="Times New Roman" w:hAnsi="Times New Roman" w:cs="Times New Roman"/>
                <w:sz w:val="21"/>
                <w:szCs w:val="21"/>
                <w:lang w:eastAsia="ru-RU"/>
              </w:rPr>
              <w:br/>
              <w:t xml:space="preserve">Зарегистрировано в Минюсте России 29.03.2024 N 77693.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Настоящий приказ вступает в силу по истечении одного месяца со дня его официального опубликования. Признается утратившим силу приказ ФНС от 24.04.2019 N ММВ-7-2/204@, которым установлены аналогичные форма и формат.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Утверждены формат и порядок направления в налоговый орган банковской гарантии в форме электронного документа</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2A15D6B5" wp14:editId="55776245">
                  <wp:extent cx="114300" cy="142875"/>
                  <wp:effectExtent l="0" t="0" r="0" b="9525"/>
                  <wp:docPr id="95" name="Рисунок 95" descr="C:\Users\Sorotskaia.S.S\AppData\Local\Microsoft\Windows\INetCache\Content.MSO\AA7C14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Sorotskaia.S.S\AppData\Local\Microsoft\Windows\INetCache\Content.MSO\AA7C14E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ФНС России от 28.02.2024 N ЕД-7-15/162@</w:t>
            </w:r>
            <w:r w:rsidRPr="005054C1">
              <w:rPr>
                <w:rFonts w:ascii="Times New Roman" w:eastAsia="Times New Roman" w:hAnsi="Times New Roman" w:cs="Times New Roman"/>
                <w:sz w:val="21"/>
                <w:szCs w:val="21"/>
                <w:lang w:eastAsia="ru-RU"/>
              </w:rPr>
              <w:br/>
              <w:t>"Об утверждении формата и порядка направления банковской гарантии в налоговый орган в электронной форме"</w:t>
            </w:r>
            <w:r w:rsidRPr="005054C1">
              <w:rPr>
                <w:rFonts w:ascii="Times New Roman" w:eastAsia="Times New Roman" w:hAnsi="Times New Roman" w:cs="Times New Roman"/>
                <w:sz w:val="21"/>
                <w:szCs w:val="21"/>
                <w:lang w:eastAsia="ru-RU"/>
              </w:rPr>
              <w:br/>
              <w:t xml:space="preserve">Зарегистрировано в Минюсте России 28.03.2024 N 77675.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Возможность применения электронной банковской гарантии в целях обеспечения обязанности по уплате налогов предусмотрена Федеральным законом от 31.07.2023 N 389-ФЗ, вступающим в силу с 1 апреля 2024 года.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Направление гарантии в налоговый орган осуществляется гарантом по ТКС в порядке, установленном приказом ФНС России от 16.07.2020 N ЕД-7-2/448@.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Признан утратившим силу приказ ФНС России от 01.02.2019 N ММВ-7-15/45@, которым утвержден порядок уведомления банком налогового органа о факте выдачи банковской гарантии.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ФНС установлены форма и формат представления расчета финансового результата инвестиционного товарищества в электронной форме</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22DAA47D" wp14:editId="078D31F2">
                  <wp:extent cx="114300" cy="142875"/>
                  <wp:effectExtent l="0" t="0" r="0" b="9525"/>
                  <wp:docPr id="96" name="Рисунок 96" descr="C:\Users\Sorotskaia.S.S\AppData\Local\Microsoft\Windows\INetCache\Content.MSO\26062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Sorotskaia.S.S\AppData\Local\Microsoft\Windows\INetCache\Content.MSO\260628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ФНС России от 01.03.2024 N ЕД-7-3/170@</w:t>
            </w:r>
            <w:r w:rsidRPr="005054C1">
              <w:rPr>
                <w:rFonts w:ascii="Times New Roman" w:eastAsia="Times New Roman" w:hAnsi="Times New Roman" w:cs="Times New Roman"/>
                <w:sz w:val="21"/>
                <w:szCs w:val="21"/>
                <w:lang w:eastAsia="ru-RU"/>
              </w:rPr>
              <w:br/>
              <w:t>"Об утверждении формы и формата представления расчета финансового результата инвестиционного товарищества в электронной форме"</w:t>
            </w:r>
            <w:r w:rsidRPr="005054C1">
              <w:rPr>
                <w:rFonts w:ascii="Times New Roman" w:eastAsia="Times New Roman" w:hAnsi="Times New Roman" w:cs="Times New Roman"/>
                <w:sz w:val="21"/>
                <w:szCs w:val="21"/>
                <w:lang w:eastAsia="ru-RU"/>
              </w:rPr>
              <w:br/>
              <w:t xml:space="preserve">Зарегистрировано в Минюсте России 29.03.2024 N 77687.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Форма и формат представления расчета финансового результата утверждены в связи с принятием Федерального закона от 10 июля 2023 года N 318-ФЗ "О внесении изменений в статью 24.1 части первой и статью 278.2 части второй Налогового кодекса Российской Федерации".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Настоящий приказ вступает в силу по истечении двух месяцев со дня его официального опубликования.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Внесены изменения и дополнения в Унифицированный формат транспортного контейнера при информационном взаимодействии с приемными комплексами налоговых органов</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8E514DF" wp14:editId="1C6FABE5">
                  <wp:extent cx="114300" cy="142875"/>
                  <wp:effectExtent l="0" t="0" r="0" b="9525"/>
                  <wp:docPr id="97" name="Рисунок 97" descr="C:\Users\Sorotskaia.S.S\AppData\Local\Microsoft\Windows\INetCache\Content.MSO\86C98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Sorotskaia.S.S\AppData\Local\Microsoft\Windows\INetCache\Content.MSO\86C9828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Приказ ФНС России от 27.03.2024 N ЕД-7-26/245@</w:t>
            </w:r>
            <w:r w:rsidRPr="005054C1">
              <w:rPr>
                <w:rFonts w:ascii="Times New Roman" w:eastAsia="Times New Roman" w:hAnsi="Times New Roman" w:cs="Times New Roman"/>
                <w:sz w:val="21"/>
                <w:szCs w:val="21"/>
                <w:lang w:eastAsia="ru-RU"/>
              </w:rPr>
              <w:br/>
              <w:t xml:space="preserve">"О внесении изменений в приказ ФНС России от 09.11.2010 N ММВ-7-6/535@"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Согласно внесенному уточнению для шифрования используются алгоритмы ГОСТ 34.12-2018 и ГОСТ 34.13-2018.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новой редакции изложены раздел IX приложения N 1 и таблица 16.5 приложения N 16 к Унифицированному формату.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Включено новое приложение N 18 "Классификатор ошибок форматно-логического контроля файлов налоговой и бухгалтерской отчетности ФНС России".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Не подлежат налогообложению НДФЛ суммы стипендий и материальной поддержки, оказываемой нуждающимся студентам образовательными организациями</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475E7119" wp14:editId="4B302FF6">
                  <wp:extent cx="114300" cy="142875"/>
                  <wp:effectExtent l="0" t="0" r="0" b="9525"/>
                  <wp:docPr id="98" name="Рисунок 98" descr="C:\Users\Sorotskaia.S.S\AppData\Local\Microsoft\Windows\INetCache\Content.MSO\4301CE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orotskaia.S.S\AppData\Local\Microsoft\Windows\INetCache\Content.MSO\4301CE7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Минобрнауки России от 05.03.2024 N МН-11/725</w:t>
            </w:r>
            <w:r w:rsidRPr="005054C1">
              <w:rPr>
                <w:rFonts w:ascii="Times New Roman" w:eastAsia="Times New Roman" w:hAnsi="Times New Roman" w:cs="Times New Roman"/>
                <w:sz w:val="21"/>
                <w:szCs w:val="21"/>
                <w:lang w:eastAsia="ru-RU"/>
              </w:rPr>
              <w:br/>
              <w:t xml:space="preserve">"О направлении информации"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Независимо от гражданства и налогового статуса студента указанные суммы, установленные и выплачиваемые в соответствии с положениями Федерального закона "Об </w:t>
      </w:r>
      <w:r w:rsidRPr="005054C1">
        <w:rPr>
          <w:rFonts w:ascii="Times New Roman" w:eastAsia="Times New Roman" w:hAnsi="Times New Roman" w:cs="Times New Roman"/>
          <w:sz w:val="24"/>
          <w:szCs w:val="24"/>
          <w:lang w:eastAsia="ru-RU"/>
        </w:rPr>
        <w:lastRenderedPageBreak/>
        <w:t xml:space="preserve">образовании в Российской Федерации", не подлежат налогообложению на основании пункта 11 статьи 217 НК РФ.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Направлены разъяснения по вопросу передачи сведений об уплаченных страховых взносах в фиксированном размере в отношении умерших плательщиков в целях назначения/перерасчета пенсии по случаю потери кормильца</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D25ADDE" wp14:editId="0A4CD88B">
                  <wp:extent cx="114300" cy="142875"/>
                  <wp:effectExtent l="0" t="0" r="0" b="9525"/>
                  <wp:docPr id="99" name="Рисунок 99" descr="C:\Users\Sorotskaia.S.S\AppData\Local\Microsoft\Windows\INetCache\Content.MSO\77485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Sorotskaia.S.S\AppData\Local\Microsoft\Windows\INetCache\Content.MSO\77485BE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ФНС России от 20.03.2024 N БС-4-11/3143@</w:t>
            </w:r>
            <w:r w:rsidRPr="005054C1">
              <w:rPr>
                <w:rFonts w:ascii="Times New Roman" w:eastAsia="Times New Roman" w:hAnsi="Times New Roman" w:cs="Times New Roman"/>
                <w:sz w:val="21"/>
                <w:szCs w:val="21"/>
                <w:lang w:eastAsia="ru-RU"/>
              </w:rPr>
              <w:br/>
              <w:t xml:space="preserve">&lt;По вопросу передачи сведений об исчисленных и уплаченных страховых взносах в фиксированном размере, соответствующих периоду деятельности плательщиков, снятых с учета по причине смерти в целях обеспечения пенсионных прав застрахованных лиц, том числе, при назначении/перерасчете пенсии по случаю потери кормильца нетрудоспособным членам семьи умершего, состоявшим на его иждивении&gt;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proofErr w:type="gramStart"/>
      <w:r w:rsidRPr="005054C1">
        <w:rPr>
          <w:rFonts w:ascii="Times New Roman" w:eastAsia="Times New Roman" w:hAnsi="Times New Roman" w:cs="Times New Roman"/>
          <w:sz w:val="24"/>
          <w:szCs w:val="24"/>
          <w:lang w:eastAsia="ru-RU"/>
        </w:rPr>
        <w:t>В частности</w:t>
      </w:r>
      <w:proofErr w:type="gramEnd"/>
      <w:r w:rsidRPr="005054C1">
        <w:rPr>
          <w:rFonts w:ascii="Times New Roman" w:eastAsia="Times New Roman" w:hAnsi="Times New Roman" w:cs="Times New Roman"/>
          <w:sz w:val="24"/>
          <w:szCs w:val="24"/>
          <w:lang w:eastAsia="ru-RU"/>
        </w:rPr>
        <w:t xml:space="preserve"> указано, что передача данных сведений не представляется возможной с учетом следующего: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обязанность умершего ИП по сдаче отчетности полностью прекращается на дату его смерти и не переходит к наследникам. При этом налоговый орган по своей инициативе не может исчислить налоговую обязанность ИП после его смерти;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суммы, зачтенные в счет исполнения предстоящей обязанности по уплате страховых взносов, по своей сущности являются суммами переплаты. В случае смерти ИП до наступления срока платежа страховых взносов такие зарезервированные суммы должны быть возвращены наследникам в составе наследуемого имущества.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Даны разъяснения по вопросу применения единых пониженных тарифов страховых взносов резидентами ТОР, расположенной на территории Дальневосточного федерального округа, и резидентами свободного порта Владивосток, получившими соответствующие статусы после 01.01.2023</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798BD2B2" wp14:editId="27C879B8">
                  <wp:extent cx="114300" cy="142875"/>
                  <wp:effectExtent l="0" t="0" r="0" b="9525"/>
                  <wp:docPr id="100" name="Рисунок 100" descr="C:\Users\Sorotskaia.S.S\AppData\Local\Microsoft\Windows\INetCache\Content.MSO\6CFC5C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Sorotskaia.S.S\AppData\Local\Microsoft\Windows\INetCache\Content.MSO\6CFC5C3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ФНС России от 25.03.2024 N БС-4-11/3349@</w:t>
            </w:r>
            <w:r w:rsidRPr="005054C1">
              <w:rPr>
                <w:rFonts w:ascii="Times New Roman" w:eastAsia="Times New Roman" w:hAnsi="Times New Roman" w:cs="Times New Roman"/>
                <w:sz w:val="21"/>
                <w:szCs w:val="21"/>
                <w:lang w:eastAsia="ru-RU"/>
              </w:rPr>
              <w:br/>
              <w:t xml:space="preserve">&lt;О применении единых пониженных тарифов страховых взносов резидентами территории опережающего развития, расположенной на территории Дальневосточного федерального округа, и резидентами свободного порта Владивосток, получившими соответствующие статусы после 01.01.2023&gt;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соответствии с положениями абзаца второго пункта 10.1 статьи 427 НК РФ плательщики страховых взносов, получившие после 01.01.2023 статус резидента ТОР, расположенной на территории Дальневосточного федерального округа (далее - ДФО), или статус резидента свободного порта Владивосток (далее - СПВ), применяют единые пониженные тарифы страховых взносов, предусмотренные пунктом 2.2 статьи 427 НК РФ, в течение десяти лет начиная с 1-го числа месяца, следующего за месяцем, в котором плательщик уведомил налоговый орган об использовании права на применение единых пониженных тарифов страховых взносов. Плательщик вправе представить в налоговый орган уведомление об использовании права на применение единых пониженных тарифов страховых взносов в течение трех лет со дня получения соответствующего статуса.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случае если плательщик не представил уведомление до истечения периода его представления, единые пониженные тарифы страховых взносов применяются таким </w:t>
      </w:r>
      <w:r w:rsidRPr="005054C1">
        <w:rPr>
          <w:rFonts w:ascii="Times New Roman" w:eastAsia="Times New Roman" w:hAnsi="Times New Roman" w:cs="Times New Roman"/>
          <w:sz w:val="24"/>
          <w:szCs w:val="24"/>
          <w:lang w:eastAsia="ru-RU"/>
        </w:rPr>
        <w:lastRenderedPageBreak/>
        <w:t xml:space="preserve">плательщиком в течение десяти лет начиная с 1-го числа месяца, следующего за месяцем, в котором истекает период представления уведомления.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Таким образом, применение единых пониженных тарифов страховых взносов, предусмотренных пунктом 2.2 статьи 427 НК РФ, плательщиками, получившими статус резидента ТОР, расположенной на территории ДФО, или статус резидента СПВ после 01.01.2023, без представления уведомления является неправомерным.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связи с этим сумма страховых взносов, подлежащая уплате за расчетный (отчетный) период, в котором плательщиком неправомерно применялись единые пониженные тарифы страховых взносов, предусмотренные пунктом 2.2 статьи 427 НК РФ, подлежит восстановлению исходя из тарифов страховых взносов, установленных пунктом 3 статьи 425 НК РФ, и уплате в установленном порядке с учетом уменьшения на величину уплаченных за этот период страховых взносов со взысканием с плательщика соответствующих сумм пеней. Плательщик обязан внести необходимые изменения в расчет по страховым взносам и представить в налоговый орган уточненный расчет по страховым взносам в порядке, установленном статьей 81 НК РФ.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ФНС разъяснила, какие коды ОКТМО надо указывать в уведомлениях об исчисленных суммах налога (авансовых платежей) на имущество</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041EE796" wp14:editId="6900B3C9">
                  <wp:extent cx="114300" cy="142875"/>
                  <wp:effectExtent l="0" t="0" r="0" b="9525"/>
                  <wp:docPr id="101" name="Рисунок 101" descr="C:\Users\Sorotskaia.S.S\AppData\Local\Microsoft\Windows\INetCache\Content.MSO\1DBF7D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Sorotskaia.S.S\AppData\Local\Microsoft\Windows\INetCache\Content.MSO\1DBF7D0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Письмо ФНС России от 25.03.2024 N БС-4-21/3309@</w:t>
            </w:r>
            <w:r w:rsidRPr="005054C1">
              <w:rPr>
                <w:rFonts w:ascii="Times New Roman" w:eastAsia="Times New Roman" w:hAnsi="Times New Roman" w:cs="Times New Roman"/>
                <w:sz w:val="21"/>
                <w:szCs w:val="21"/>
                <w:lang w:eastAsia="ru-RU"/>
              </w:rPr>
              <w:br/>
              <w:t xml:space="preserve">"Об указании кода по ОКТМО в уведомлениях об исчисленных суммах налогов, авансовых платежей по налогам, сборов, страховых взносов (при исчислении налога на имущество организаций, авансовых платежей по этому налогу)"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письме приведена информация: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об особенностях уплаты налога на имущество в бюджеты субъектов РФ с учетом места нахождения объектов недвижимого имущества;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 кодах ОКТМО, указываемых в уведомлении, в том числе в отношении имущества, находящегося во внутренних морских водах РФ, на континентальном шельфе и (или) за пределами РФ.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Рекомендована для использования в работе форма извещения об отказе в приеме уведомлений плательщиков страховых взносов - резидентов особых зон на применение единых пониженных тарифов</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48CFDCDE" wp14:editId="42AB4322">
                  <wp:extent cx="114300" cy="142875"/>
                  <wp:effectExtent l="0" t="0" r="0" b="9525"/>
                  <wp:docPr id="105" name="Рисунок 105" descr="C:\Users\Sorotskaia.S.S\AppData\Local\Microsoft\Windows\INetCache\Content.MSO\4DACC6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Sorotskaia.S.S\AppData\Local\Microsoft\Windows\INetCache\Content.MSO\4DACC67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&lt;Письмо&gt; ФНС России от 28.03.2024 N БС-4-11/3563@</w:t>
            </w:r>
            <w:r w:rsidRPr="005054C1">
              <w:rPr>
                <w:rFonts w:ascii="Times New Roman" w:eastAsia="Times New Roman" w:hAnsi="Times New Roman" w:cs="Times New Roman"/>
                <w:sz w:val="21"/>
                <w:szCs w:val="21"/>
                <w:lang w:eastAsia="ru-RU"/>
              </w:rPr>
              <w:br/>
              <w:t xml:space="preserve">&lt;О направлении рекомендуемой формы Извещения об отказе в приеме Уведомления плательщика страховых взносов, получившего после 1 января 2023 года статус резидента территории опережающего развития, расположенной на территории Дальневосточного федерального округа, или статус резидента свободного порта Владивосток, об использовании права на применение единых пониженных тарифов страховых взносов (КНД 1160297)&gt;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Речь идет о плательщиках страховых взносов, получивших после 1 января 2023 года статус резидента ТОР, расположенной на территории ДФО, или статус резидента свободного порта Владивосток.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lastRenderedPageBreak/>
        <w:t xml:space="preserve">В извещении указываются наименование налогового органа и причины направления извещения (в т.ч. отсутствие статуса резидента особой зоны, истечение периода представления уведомления).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5054C1" w:rsidP="00D961F1">
      <w:pPr>
        <w:spacing w:after="0" w:line="288" w:lineRule="atLeast"/>
        <w:jc w:val="both"/>
        <w:rPr>
          <w:rFonts w:ascii="Times New Roman" w:eastAsia="Times New Roman" w:hAnsi="Times New Roman" w:cs="Times New Roman"/>
          <w:b/>
          <w:bCs/>
          <w:sz w:val="24"/>
          <w:szCs w:val="24"/>
          <w:lang w:eastAsia="ru-RU"/>
        </w:rPr>
      </w:pPr>
      <w:r w:rsidRPr="005054C1">
        <w:rPr>
          <w:rFonts w:ascii="Times New Roman" w:eastAsia="Times New Roman" w:hAnsi="Times New Roman" w:cs="Times New Roman"/>
          <w:sz w:val="24"/>
          <w:szCs w:val="24"/>
          <w:lang w:eastAsia="ru-RU"/>
        </w:rPr>
        <w:t> </w:t>
      </w:r>
      <w:r w:rsidR="00D961F1">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С 1 апреля 2024 года при перепродаже б/у транспортных средств будет применяться новый порядок исчисления НДС</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663FE375" wp14:editId="28583533">
                  <wp:extent cx="114300" cy="142875"/>
                  <wp:effectExtent l="0" t="0" r="0" b="9525"/>
                  <wp:docPr id="108" name="Рисунок 108" descr="C:\Users\Sorotskaia.S.S\AppData\Local\Microsoft\Windows\INetCache\Content.MSO\500D4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orotskaia.S.S\AppData\Local\Microsoft\Windows\INetCache\Content.MSO\500D4A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&lt;Информация&gt; ФНС России от 29.03.2024 "С 1 апреля налоговая база по НДС при перепродаже б/у автомобилей и мотоциклов определяется по новым правилам"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 дальнейшей перепродаже б/у транспортных средств от одного юрлица другому налоговая база по НДС будет определяться как разница между ценой реализации с учетом НДС и ценой приобретения транспортного средства у предыдущего продавца с учетом НДС.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Сообщается, что такой порядок исчисления НДС с </w:t>
      </w:r>
      <w:proofErr w:type="spellStart"/>
      <w:r w:rsidRPr="005054C1">
        <w:rPr>
          <w:rFonts w:ascii="Times New Roman" w:eastAsia="Times New Roman" w:hAnsi="Times New Roman" w:cs="Times New Roman"/>
          <w:sz w:val="24"/>
          <w:szCs w:val="24"/>
          <w:lang w:eastAsia="ru-RU"/>
        </w:rPr>
        <w:t>межценовой</w:t>
      </w:r>
      <w:proofErr w:type="spellEnd"/>
      <w:r w:rsidRPr="005054C1">
        <w:rPr>
          <w:rFonts w:ascii="Times New Roman" w:eastAsia="Times New Roman" w:hAnsi="Times New Roman" w:cs="Times New Roman"/>
          <w:sz w:val="24"/>
          <w:szCs w:val="24"/>
          <w:lang w:eastAsia="ru-RU"/>
        </w:rPr>
        <w:t xml:space="preserve"> разницы будет применяться на всех звеньях цепочки продаж, если последним собственником, на которого было зарегистрировано транспортное средство, являлось физическое лицо.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Бюджетам субъектов РФ предоставят субсидии в целях реализации мер социальной поддержки граждан, жилые помещения которых утрачены (повреждены) в результате региональных чрезвычайных ситуаций</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C05E435" wp14:editId="51628D61">
                  <wp:extent cx="114300" cy="142875"/>
                  <wp:effectExtent l="0" t="0" r="0" b="9525"/>
                  <wp:docPr id="109" name="Рисунок 109" descr="C:\Users\Sorotskaia.S.S\AppData\Local\Microsoft\Windows\INetCache\Content.MSO\7C7B3E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orotskaia.S.S\AppData\Local\Microsoft\Windows\INetCache\Content.MSO\7C7B3EF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23.03.2024 N 366</w:t>
            </w:r>
            <w:r w:rsidRPr="005054C1">
              <w:rPr>
                <w:rFonts w:ascii="Times New Roman" w:eastAsia="Times New Roman" w:hAnsi="Times New Roman" w:cs="Times New Roman"/>
                <w:sz w:val="21"/>
                <w:szCs w:val="21"/>
                <w:lang w:eastAsia="ru-RU"/>
              </w:rPr>
              <w:br/>
              <w:t xml:space="preserve">"Об утверждении Правил предоставления субсидий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w:t>
            </w:r>
            <w:proofErr w:type="spellStart"/>
            <w:r w:rsidRPr="005054C1">
              <w:rPr>
                <w:rFonts w:ascii="Times New Roman" w:eastAsia="Times New Roman" w:hAnsi="Times New Roman" w:cs="Times New Roman"/>
                <w:sz w:val="21"/>
                <w:szCs w:val="21"/>
                <w:lang w:eastAsia="ru-RU"/>
              </w:rPr>
              <w:t>софинансирования</w:t>
            </w:r>
            <w:proofErr w:type="spellEnd"/>
            <w:r w:rsidRPr="005054C1">
              <w:rPr>
                <w:rFonts w:ascii="Times New Roman" w:eastAsia="Times New Roman" w:hAnsi="Times New Roman" w:cs="Times New Roman"/>
                <w:sz w:val="21"/>
                <w:szCs w:val="21"/>
                <w:lang w:eastAsia="ru-RU"/>
              </w:rPr>
              <w:t xml:space="preserve">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отнесенных к чрезвычайным ситуациям регионального характера"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Для получения субсидии высшие исполнительные органы субъектов РФ представляют в Минстрой России перечни жилых помещений, утраченных (поврежденных) в результате чрезвычайных ситуаций, по формам согласно приложениям.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Субсидии предоставляются в целях осуществления выплат гражданам, либо на приобретение и (или) строительство жилых помещений для передачи их гражданам.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Определены категории граждан, в отношении которых осуществляются соответствующие мероприятия.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Установлены нормы, по которым определяется размер субсидий в отношении одного утраченного или поврежденного жилого помещения.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Например, субсидия на утраченное жилое помещение рассчитывается исходя из показателей средней рыночной стоимости 1 кв. метра площади жилого помещения в субъекте РФ и нормы общей площади жилого помещения в размере 33 кв. метра для одиноко проживающих граждан, 42 кв. метра на семью из 2 человек и по 18 кв. метров на </w:t>
      </w:r>
      <w:r w:rsidRPr="005054C1">
        <w:rPr>
          <w:rFonts w:ascii="Times New Roman" w:eastAsia="Times New Roman" w:hAnsi="Times New Roman" w:cs="Times New Roman"/>
          <w:sz w:val="24"/>
          <w:szCs w:val="24"/>
          <w:lang w:eastAsia="ru-RU"/>
        </w:rPr>
        <w:lastRenderedPageBreak/>
        <w:t xml:space="preserve">каждого члена семьи, состоящей из 3 человек и более, но не более общей площади (доли общей площади) утраченного жилого помещения.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Стоимость капитального ремонта 1 кв. метра общей площади поврежденного жилого помещения определена в размере, не превышающем 7 тыс. рублей.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Правительство планирует упростить порядок оформления субсидий на оплату жилого помещения и ЖКУ</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4910A3E3" wp14:editId="16301F6B">
                  <wp:extent cx="114300" cy="142875"/>
                  <wp:effectExtent l="0" t="0" r="0" b="9525"/>
                  <wp:docPr id="110" name="Рисунок 110" descr="C:\Users\Sorotskaia.S.S\AppData\Local\Microsoft\Windows\INetCache\Content.MSO\E3CC8F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orotskaia.S.S\AppData\Local\Microsoft\Windows\INetCache\Content.MSO\E3CC8F2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Проект Постановления Правительства РФ "О внесении изменений в Правила предоставления субсидий на оплату жилого помещения и коммунальных услуг и признании утратившими силу отдельных положений некоторых актов Правительства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Подготовлен проект, которым, в частности: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сокращен перечень представляемых гражданами документов (их копий) для получения субсидии, а также по всем видам документов (сведений) определены источники и способы их получения (основная часть сведений будет представляться посредством межведомственного электронного взаимодействия);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определен порядок подачи заявления о предоставлении субсидии и документов (сведений) в электронной форме с использованием портала госуслуг;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при исчислении совокупного дохода из состава семьи заявителя исключены отдельные категории граждан (в частности лица, находящиеся на полном </w:t>
      </w:r>
      <w:proofErr w:type="spellStart"/>
      <w:r w:rsidRPr="005054C1">
        <w:rPr>
          <w:rFonts w:ascii="Times New Roman" w:eastAsia="Times New Roman" w:hAnsi="Times New Roman" w:cs="Times New Roman"/>
          <w:sz w:val="24"/>
          <w:szCs w:val="24"/>
          <w:lang w:eastAsia="ru-RU"/>
        </w:rPr>
        <w:t>гособеспечении</w:t>
      </w:r>
      <w:proofErr w:type="spellEnd"/>
      <w:r w:rsidRPr="005054C1">
        <w:rPr>
          <w:rFonts w:ascii="Times New Roman" w:eastAsia="Times New Roman" w:hAnsi="Times New Roman" w:cs="Times New Roman"/>
          <w:sz w:val="24"/>
          <w:szCs w:val="24"/>
          <w:lang w:eastAsia="ru-RU"/>
        </w:rPr>
        <w:t xml:space="preserve"> (за исключением детей), военнослужащие-призывники и пр.);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скорректированы виды доходов, учитываемых при расчете совокупного дохода семьи или одиноко проживающего гражданина.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Определен порядок предоставления мер социальной поддержки победителям чемпионатов по профессиональному мастерству среди инвалидов и лиц с ограниченными возможностями здоровья "</w:t>
      </w:r>
      <w:proofErr w:type="spellStart"/>
      <w:r w:rsidRPr="005054C1">
        <w:rPr>
          <w:rFonts w:ascii="Times New Roman" w:eastAsia="Times New Roman" w:hAnsi="Times New Roman" w:cs="Times New Roman"/>
          <w:b/>
          <w:bCs/>
          <w:sz w:val="24"/>
          <w:szCs w:val="24"/>
          <w:lang w:eastAsia="ru-RU"/>
        </w:rPr>
        <w:t>Абилимпикс</w:t>
      </w:r>
      <w:proofErr w:type="spellEnd"/>
      <w:r w:rsidRPr="005054C1">
        <w:rPr>
          <w:rFonts w:ascii="Times New Roman" w:eastAsia="Times New Roman" w:hAnsi="Times New Roman" w:cs="Times New Roman"/>
          <w:b/>
          <w:bCs/>
          <w:sz w:val="24"/>
          <w:szCs w:val="24"/>
          <w:lang w:eastAsia="ru-RU"/>
        </w:rPr>
        <w:t>" с использованием электронного сертификата</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1E6C251E" wp14:editId="406DA3D4">
                  <wp:extent cx="114300" cy="142875"/>
                  <wp:effectExtent l="0" t="0" r="0" b="9525"/>
                  <wp:docPr id="111" name="Рисунок 111" descr="C:\Users\Sorotskaia.S.S\AppData\Local\Microsoft\Windows\INetCache\Content.MSO\B71DEA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orotskaia.S.S\AppData\Local\Microsoft\Windows\INetCache\Content.MSO\B71DEAC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Постановление Правительства РФ от 27.03.2024 N 377</w:t>
            </w:r>
            <w:r w:rsidRPr="005054C1">
              <w:rPr>
                <w:rFonts w:ascii="Times New Roman" w:eastAsia="Times New Roman" w:hAnsi="Times New Roman" w:cs="Times New Roman"/>
                <w:sz w:val="21"/>
                <w:szCs w:val="21"/>
                <w:lang w:eastAsia="ru-RU"/>
              </w:rPr>
              <w:br/>
              <w:t xml:space="preserve">"О внесении изменений в некоторые акты Правительства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Необходимые изменения внесены, в частности, в постановление Правительства от 5 февраля 2022 г. N 119, которым регулировался порядок предоставления сертификатов победителям чемпионатов.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Устанавливается, что предоставление мер социальной поддержки победителям с использованием электронного сертификата осуществляется путем приобретения отдельных видов товаров, работ, услуг в соответствии с Федеральным законом "О приобретении отдельных видов товаров, работ, услуг с использованием электронного сертификата".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Внесенными изменениями в числе прочего ограничен срок действия электронного сертификата - закреплено, что указанный срок составляет 12 месяцев. Не позднее срока окончания действия электронного сертификата победитель должен приобрести товары, работы, услуги, включенные в перечень специализированных технических средств реабилитации и перечень услуг по дополнительному образованию детей, дополнительному </w:t>
      </w:r>
      <w:r w:rsidRPr="005054C1">
        <w:rPr>
          <w:rFonts w:ascii="Times New Roman" w:eastAsia="Times New Roman" w:hAnsi="Times New Roman" w:cs="Times New Roman"/>
          <w:sz w:val="24"/>
          <w:szCs w:val="24"/>
          <w:lang w:eastAsia="ru-RU"/>
        </w:rPr>
        <w:lastRenderedPageBreak/>
        <w:t xml:space="preserve">профессиональному образованию, приобретаемых (предоставляемых) с использованием электронного сертификата.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На 1 сентября 2025 г. предлагается перенести срок нанесения штрих-кодов и маркировки ювелирных изделий из драгоценных металлов и драгоценных камней</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5D8A7B9" wp14:editId="464135AA">
                  <wp:extent cx="114300" cy="142875"/>
                  <wp:effectExtent l="0" t="0" r="0" b="9525"/>
                  <wp:docPr id="112" name="Рисунок 112" descr="C:\Users\Sorotskaia.S.S\AppData\Local\Microsoft\Windows\INetCache\Content.MSO\6B1313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Sorotskaia.S.S\AppData\Local\Microsoft\Windows\INetCache\Content.MSO\6B13136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 xml:space="preserve">Проект Постановления Правительства РФ "О внесении изменения в постановление Правительства Российской Федерации от 26 февраля 2021 г. N 270"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настоящее время, согласно Постановлению Правительства РФ от 26.02.2021 N 270, с 1 сентября 2024 г. на территории РФ на ювелирные изделия из драгоценных металлов и драгоценных камней, заявленные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Правилам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Правила), за исключением случаев, установленных международными договорами РФ, а также осуществляется маркировка ювелирных изделий из драгоценных металлов и драгоценных камней, ввезенных на территорию РФ из государств, не входящих в ЕАЭС, в порядке, установленном Правилами.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p>
    <w:p w:rsidR="00D961F1" w:rsidRDefault="00D961F1" w:rsidP="00D961F1">
      <w:pPr>
        <w:spacing w:after="0" w:line="288"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Прокуратура Ленинского района г. Ульяновска разъясняет:</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b/>
          <w:bCs/>
          <w:sz w:val="24"/>
          <w:szCs w:val="24"/>
          <w:lang w:eastAsia="ru-RU"/>
        </w:rPr>
        <w:t>Президент подписал закон о дополнительной защите прав граждан, инвестирующих в сложные финансовые продукты</w:t>
      </w:r>
      <w:r w:rsidRPr="005054C1">
        <w:rPr>
          <w:rFonts w:ascii="Times New Roman" w:eastAsia="Times New Roman" w:hAnsi="Times New Roman" w:cs="Times New Roman"/>
          <w:sz w:val="24"/>
          <w:szCs w:val="24"/>
          <w:lang w:eastAsia="ru-RU"/>
        </w:rPr>
        <w:t xml:space="preserve"> </w:t>
      </w:r>
    </w:p>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sz w:val="17"/>
          <w:szCs w:val="17"/>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330"/>
        <w:gridCol w:w="9025"/>
      </w:tblGrid>
      <w:tr w:rsidR="005054C1" w:rsidRPr="005054C1" w:rsidTr="005054C1">
        <w:tc>
          <w:tcPr>
            <w:tcW w:w="180" w:type="dxa"/>
            <w:tcMar>
              <w:top w:w="0" w:type="dxa"/>
              <w:left w:w="0" w:type="dxa"/>
              <w:bottom w:w="0" w:type="dxa"/>
              <w:right w:w="150" w:type="dxa"/>
            </w:tcMar>
            <w:hideMark/>
          </w:tcPr>
          <w:p w:rsidR="005054C1" w:rsidRPr="005054C1" w:rsidRDefault="005054C1" w:rsidP="005054C1">
            <w:pPr>
              <w:spacing w:after="0" w:line="168" w:lineRule="atLeast"/>
              <w:rPr>
                <w:rFonts w:ascii="Times New Roman" w:eastAsia="Times New Roman" w:hAnsi="Times New Roman" w:cs="Times New Roman"/>
                <w:sz w:val="17"/>
                <w:szCs w:val="17"/>
                <w:lang w:eastAsia="ru-RU"/>
              </w:rPr>
            </w:pPr>
            <w:r w:rsidRPr="005054C1">
              <w:rPr>
                <w:rFonts w:ascii="Times New Roman" w:eastAsia="Times New Roman" w:hAnsi="Times New Roman" w:cs="Times New Roman"/>
                <w:noProof/>
                <w:sz w:val="24"/>
                <w:szCs w:val="24"/>
                <w:lang w:eastAsia="ru-RU"/>
              </w:rPr>
              <w:drawing>
                <wp:inline distT="0" distB="0" distL="0" distR="0" wp14:anchorId="34A77CA1" wp14:editId="6F0D4BF6">
                  <wp:extent cx="114300" cy="142875"/>
                  <wp:effectExtent l="0" t="0" r="0" b="9525"/>
                  <wp:docPr id="123" name="Рисунок 123" descr="C:\Users\Sorotskaia.S.S\AppData\Local\Microsoft\Windows\INetCache\Content.MSO\CDA7F0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Sorotskaia.S.S\AppData\Local\Microsoft\Windows\INetCache\Content.MSO\CDA7F0B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5054C1" w:rsidRPr="005054C1" w:rsidRDefault="005054C1" w:rsidP="005054C1">
            <w:pPr>
              <w:spacing w:after="0" w:line="288" w:lineRule="atLeast"/>
              <w:rPr>
                <w:rFonts w:ascii="Times New Roman" w:eastAsia="Times New Roman" w:hAnsi="Times New Roman" w:cs="Times New Roman"/>
                <w:sz w:val="21"/>
                <w:szCs w:val="21"/>
                <w:lang w:eastAsia="ru-RU"/>
              </w:rPr>
            </w:pPr>
            <w:r w:rsidRPr="005054C1">
              <w:rPr>
                <w:rFonts w:ascii="Times New Roman" w:eastAsia="Times New Roman" w:hAnsi="Times New Roman" w:cs="Times New Roman"/>
                <w:sz w:val="21"/>
                <w:szCs w:val="21"/>
                <w:lang w:eastAsia="ru-RU"/>
              </w:rPr>
              <w:t>Федеральный закон от 23.03.2024 N 50-ФЗ</w:t>
            </w:r>
            <w:r w:rsidRPr="005054C1">
              <w:rPr>
                <w:rFonts w:ascii="Times New Roman" w:eastAsia="Times New Roman" w:hAnsi="Times New Roman" w:cs="Times New Roman"/>
                <w:sz w:val="21"/>
                <w:szCs w:val="21"/>
                <w:lang w:eastAsia="ru-RU"/>
              </w:rPr>
              <w:br/>
              <w:t xml:space="preserve">"О внесении изменений в Федеральный закон "О рынке ценных бумаг" и статью 11 Федерального закона "О внесении изменений в отдельные законодательные акты Российской Федерации" </w:t>
            </w:r>
          </w:p>
        </w:tc>
      </w:tr>
    </w:tbl>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В частности: уточняются определения дилерской деятельности и деятельности </w:t>
      </w:r>
      <w:proofErr w:type="spellStart"/>
      <w:r w:rsidRPr="005054C1">
        <w:rPr>
          <w:rFonts w:ascii="Times New Roman" w:eastAsia="Times New Roman" w:hAnsi="Times New Roman" w:cs="Times New Roman"/>
          <w:sz w:val="24"/>
          <w:szCs w:val="24"/>
          <w:lang w:eastAsia="ru-RU"/>
        </w:rPr>
        <w:t>форекс</w:t>
      </w:r>
      <w:proofErr w:type="spellEnd"/>
      <w:r w:rsidRPr="005054C1">
        <w:rPr>
          <w:rFonts w:ascii="Times New Roman" w:eastAsia="Times New Roman" w:hAnsi="Times New Roman" w:cs="Times New Roman"/>
          <w:sz w:val="24"/>
          <w:szCs w:val="24"/>
          <w:lang w:eastAsia="ru-RU"/>
        </w:rPr>
        <w:t xml:space="preserve">-дилера; дополняется регулирование деятельности по заключению дилерами с физическими лицами договоров, являющихся ПФИ, за свой счет не на биржевом рынке; корректируется соотношение размера обеспечения, предоставленного </w:t>
      </w:r>
      <w:proofErr w:type="spellStart"/>
      <w:r w:rsidRPr="005054C1">
        <w:rPr>
          <w:rFonts w:ascii="Times New Roman" w:eastAsia="Times New Roman" w:hAnsi="Times New Roman" w:cs="Times New Roman"/>
          <w:sz w:val="24"/>
          <w:szCs w:val="24"/>
          <w:lang w:eastAsia="ru-RU"/>
        </w:rPr>
        <w:t>форекс</w:t>
      </w:r>
      <w:proofErr w:type="spellEnd"/>
      <w:r w:rsidRPr="005054C1">
        <w:rPr>
          <w:rFonts w:ascii="Times New Roman" w:eastAsia="Times New Roman" w:hAnsi="Times New Roman" w:cs="Times New Roman"/>
          <w:sz w:val="24"/>
          <w:szCs w:val="24"/>
          <w:lang w:eastAsia="ru-RU"/>
        </w:rPr>
        <w:t xml:space="preserve">-дилеру физическим лицом, не являющимся ИП, и размера его обязательств. </w:t>
      </w:r>
    </w:p>
    <w:p w:rsidR="005054C1" w:rsidRPr="005054C1" w:rsidRDefault="005054C1" w:rsidP="005054C1">
      <w:pPr>
        <w:spacing w:before="168"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Кроме того, до 1 апреля 2025 года продлевается срок действия ряда ограничений на заключение финансовыми организациями сделок по приобретению ценных бумаг и договоров, являющихся ПФИ, с клиентом - физическим лицом, не являющимся квалифицированным инвестором. </w:t>
      </w:r>
    </w:p>
    <w:p w:rsidR="005054C1" w:rsidRPr="005054C1" w:rsidRDefault="005054C1" w:rsidP="005054C1">
      <w:pPr>
        <w:spacing w:after="0" w:line="288" w:lineRule="atLeast"/>
        <w:jc w:val="both"/>
        <w:rPr>
          <w:rFonts w:ascii="Times New Roman" w:eastAsia="Times New Roman" w:hAnsi="Times New Roman" w:cs="Times New Roman"/>
          <w:sz w:val="24"/>
          <w:szCs w:val="24"/>
          <w:lang w:eastAsia="ru-RU"/>
        </w:rPr>
      </w:pPr>
      <w:r w:rsidRPr="005054C1">
        <w:rPr>
          <w:rFonts w:ascii="Times New Roman" w:eastAsia="Times New Roman" w:hAnsi="Times New Roman" w:cs="Times New Roman"/>
          <w:sz w:val="24"/>
          <w:szCs w:val="24"/>
          <w:lang w:eastAsia="ru-RU"/>
        </w:rPr>
        <w:t xml:space="preserve">  </w:t>
      </w:r>
      <w:bookmarkStart w:id="0" w:name="_GoBack"/>
      <w:bookmarkEnd w:id="0"/>
    </w:p>
    <w:sectPr w:rsidR="005054C1" w:rsidRPr="00505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8E"/>
    <w:rsid w:val="005054C1"/>
    <w:rsid w:val="0059724F"/>
    <w:rsid w:val="005B528E"/>
    <w:rsid w:val="00D9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047F"/>
  <w15:chartTrackingRefBased/>
  <w15:docId w15:val="{1050AE8A-674B-4DAB-97F9-C9A30D82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52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507">
      <w:bodyDiv w:val="1"/>
      <w:marLeft w:val="0"/>
      <w:marRight w:val="0"/>
      <w:marTop w:val="0"/>
      <w:marBottom w:val="0"/>
      <w:divBdr>
        <w:top w:val="none" w:sz="0" w:space="0" w:color="auto"/>
        <w:left w:val="none" w:sz="0" w:space="0" w:color="auto"/>
        <w:bottom w:val="none" w:sz="0" w:space="0" w:color="auto"/>
        <w:right w:val="none" w:sz="0" w:space="0" w:color="auto"/>
      </w:divBdr>
      <w:divsChild>
        <w:div w:id="1578898740">
          <w:marLeft w:val="0"/>
          <w:marRight w:val="0"/>
          <w:marTop w:val="0"/>
          <w:marBottom w:val="0"/>
          <w:divBdr>
            <w:top w:val="none" w:sz="0" w:space="0" w:color="auto"/>
            <w:left w:val="none" w:sz="0" w:space="0" w:color="auto"/>
            <w:bottom w:val="none" w:sz="0" w:space="0" w:color="auto"/>
            <w:right w:val="none" w:sz="0" w:space="0" w:color="auto"/>
          </w:divBdr>
        </w:div>
        <w:div w:id="1288388984">
          <w:marLeft w:val="0"/>
          <w:marRight w:val="0"/>
          <w:marTop w:val="0"/>
          <w:marBottom w:val="0"/>
          <w:divBdr>
            <w:top w:val="none" w:sz="0" w:space="0" w:color="auto"/>
            <w:left w:val="none" w:sz="0" w:space="0" w:color="auto"/>
            <w:bottom w:val="none" w:sz="0" w:space="0" w:color="auto"/>
            <w:right w:val="none" w:sz="0" w:space="0" w:color="auto"/>
          </w:divBdr>
        </w:div>
        <w:div w:id="932396142">
          <w:marLeft w:val="0"/>
          <w:marRight w:val="0"/>
          <w:marTop w:val="0"/>
          <w:marBottom w:val="0"/>
          <w:divBdr>
            <w:top w:val="none" w:sz="0" w:space="0" w:color="auto"/>
            <w:left w:val="none" w:sz="0" w:space="0" w:color="auto"/>
            <w:bottom w:val="none" w:sz="0" w:space="0" w:color="auto"/>
            <w:right w:val="none" w:sz="0" w:space="0" w:color="auto"/>
          </w:divBdr>
        </w:div>
        <w:div w:id="1276060465">
          <w:marLeft w:val="0"/>
          <w:marRight w:val="0"/>
          <w:marTop w:val="0"/>
          <w:marBottom w:val="0"/>
          <w:divBdr>
            <w:top w:val="none" w:sz="0" w:space="0" w:color="auto"/>
            <w:left w:val="none" w:sz="0" w:space="0" w:color="auto"/>
            <w:bottom w:val="none" w:sz="0" w:space="0" w:color="auto"/>
            <w:right w:val="none" w:sz="0" w:space="0" w:color="auto"/>
          </w:divBdr>
        </w:div>
      </w:divsChild>
    </w:div>
    <w:div w:id="473640032">
      <w:bodyDiv w:val="1"/>
      <w:marLeft w:val="0"/>
      <w:marRight w:val="0"/>
      <w:marTop w:val="0"/>
      <w:marBottom w:val="0"/>
      <w:divBdr>
        <w:top w:val="none" w:sz="0" w:space="0" w:color="auto"/>
        <w:left w:val="none" w:sz="0" w:space="0" w:color="auto"/>
        <w:bottom w:val="none" w:sz="0" w:space="0" w:color="auto"/>
        <w:right w:val="none" w:sz="0" w:space="0" w:color="auto"/>
      </w:divBdr>
      <w:divsChild>
        <w:div w:id="352346971">
          <w:marLeft w:val="0"/>
          <w:marRight w:val="0"/>
          <w:marTop w:val="0"/>
          <w:marBottom w:val="0"/>
          <w:divBdr>
            <w:top w:val="none" w:sz="0" w:space="0" w:color="auto"/>
            <w:left w:val="none" w:sz="0" w:space="0" w:color="auto"/>
            <w:bottom w:val="none" w:sz="0" w:space="0" w:color="auto"/>
            <w:right w:val="none" w:sz="0" w:space="0" w:color="auto"/>
          </w:divBdr>
        </w:div>
        <w:div w:id="304700260">
          <w:marLeft w:val="0"/>
          <w:marRight w:val="0"/>
          <w:marTop w:val="0"/>
          <w:marBottom w:val="0"/>
          <w:divBdr>
            <w:top w:val="none" w:sz="0" w:space="0" w:color="auto"/>
            <w:left w:val="none" w:sz="0" w:space="0" w:color="auto"/>
            <w:bottom w:val="none" w:sz="0" w:space="0" w:color="auto"/>
            <w:right w:val="none" w:sz="0" w:space="0" w:color="auto"/>
          </w:divBdr>
        </w:div>
        <w:div w:id="534079155">
          <w:marLeft w:val="0"/>
          <w:marRight w:val="0"/>
          <w:marTop w:val="0"/>
          <w:marBottom w:val="0"/>
          <w:divBdr>
            <w:top w:val="none" w:sz="0" w:space="0" w:color="auto"/>
            <w:left w:val="none" w:sz="0" w:space="0" w:color="auto"/>
            <w:bottom w:val="none" w:sz="0" w:space="0" w:color="auto"/>
            <w:right w:val="none" w:sz="0" w:space="0" w:color="auto"/>
          </w:divBdr>
        </w:div>
        <w:div w:id="836919693">
          <w:marLeft w:val="0"/>
          <w:marRight w:val="0"/>
          <w:marTop w:val="0"/>
          <w:marBottom w:val="0"/>
          <w:divBdr>
            <w:top w:val="none" w:sz="0" w:space="0" w:color="auto"/>
            <w:left w:val="none" w:sz="0" w:space="0" w:color="auto"/>
            <w:bottom w:val="none" w:sz="0" w:space="0" w:color="auto"/>
            <w:right w:val="none" w:sz="0" w:space="0" w:color="auto"/>
          </w:divBdr>
        </w:div>
        <w:div w:id="1527676562">
          <w:marLeft w:val="0"/>
          <w:marRight w:val="0"/>
          <w:marTop w:val="0"/>
          <w:marBottom w:val="0"/>
          <w:divBdr>
            <w:top w:val="none" w:sz="0" w:space="0" w:color="auto"/>
            <w:left w:val="none" w:sz="0" w:space="0" w:color="auto"/>
            <w:bottom w:val="none" w:sz="0" w:space="0" w:color="auto"/>
            <w:right w:val="none" w:sz="0" w:space="0" w:color="auto"/>
          </w:divBdr>
        </w:div>
        <w:div w:id="1864975958">
          <w:marLeft w:val="0"/>
          <w:marRight w:val="0"/>
          <w:marTop w:val="0"/>
          <w:marBottom w:val="0"/>
          <w:divBdr>
            <w:top w:val="none" w:sz="0" w:space="0" w:color="auto"/>
            <w:left w:val="none" w:sz="0" w:space="0" w:color="auto"/>
            <w:bottom w:val="none" w:sz="0" w:space="0" w:color="auto"/>
            <w:right w:val="none" w:sz="0" w:space="0" w:color="auto"/>
          </w:divBdr>
        </w:div>
      </w:divsChild>
    </w:div>
    <w:div w:id="639118811">
      <w:bodyDiv w:val="1"/>
      <w:marLeft w:val="0"/>
      <w:marRight w:val="0"/>
      <w:marTop w:val="0"/>
      <w:marBottom w:val="0"/>
      <w:divBdr>
        <w:top w:val="none" w:sz="0" w:space="0" w:color="auto"/>
        <w:left w:val="none" w:sz="0" w:space="0" w:color="auto"/>
        <w:bottom w:val="none" w:sz="0" w:space="0" w:color="auto"/>
        <w:right w:val="none" w:sz="0" w:space="0" w:color="auto"/>
      </w:divBdr>
      <w:divsChild>
        <w:div w:id="993334566">
          <w:marLeft w:val="0"/>
          <w:marRight w:val="0"/>
          <w:marTop w:val="0"/>
          <w:marBottom w:val="0"/>
          <w:divBdr>
            <w:top w:val="none" w:sz="0" w:space="0" w:color="auto"/>
            <w:left w:val="none" w:sz="0" w:space="0" w:color="auto"/>
            <w:bottom w:val="none" w:sz="0" w:space="0" w:color="auto"/>
            <w:right w:val="none" w:sz="0" w:space="0" w:color="auto"/>
          </w:divBdr>
        </w:div>
        <w:div w:id="1309627814">
          <w:marLeft w:val="0"/>
          <w:marRight w:val="0"/>
          <w:marTop w:val="0"/>
          <w:marBottom w:val="0"/>
          <w:divBdr>
            <w:top w:val="none" w:sz="0" w:space="0" w:color="auto"/>
            <w:left w:val="none" w:sz="0" w:space="0" w:color="auto"/>
            <w:bottom w:val="none" w:sz="0" w:space="0" w:color="auto"/>
            <w:right w:val="none" w:sz="0" w:space="0" w:color="auto"/>
          </w:divBdr>
        </w:div>
        <w:div w:id="107773668">
          <w:marLeft w:val="0"/>
          <w:marRight w:val="0"/>
          <w:marTop w:val="0"/>
          <w:marBottom w:val="0"/>
          <w:divBdr>
            <w:top w:val="none" w:sz="0" w:space="0" w:color="auto"/>
            <w:left w:val="none" w:sz="0" w:space="0" w:color="auto"/>
            <w:bottom w:val="none" w:sz="0" w:space="0" w:color="auto"/>
            <w:right w:val="none" w:sz="0" w:space="0" w:color="auto"/>
          </w:divBdr>
        </w:div>
        <w:div w:id="1004472069">
          <w:marLeft w:val="0"/>
          <w:marRight w:val="0"/>
          <w:marTop w:val="0"/>
          <w:marBottom w:val="0"/>
          <w:divBdr>
            <w:top w:val="none" w:sz="0" w:space="0" w:color="auto"/>
            <w:left w:val="none" w:sz="0" w:space="0" w:color="auto"/>
            <w:bottom w:val="none" w:sz="0" w:space="0" w:color="auto"/>
            <w:right w:val="none" w:sz="0" w:space="0" w:color="auto"/>
          </w:divBdr>
        </w:div>
        <w:div w:id="1009992543">
          <w:marLeft w:val="0"/>
          <w:marRight w:val="0"/>
          <w:marTop w:val="0"/>
          <w:marBottom w:val="0"/>
          <w:divBdr>
            <w:top w:val="none" w:sz="0" w:space="0" w:color="auto"/>
            <w:left w:val="none" w:sz="0" w:space="0" w:color="auto"/>
            <w:bottom w:val="none" w:sz="0" w:space="0" w:color="auto"/>
            <w:right w:val="none" w:sz="0" w:space="0" w:color="auto"/>
          </w:divBdr>
        </w:div>
        <w:div w:id="2121026460">
          <w:marLeft w:val="0"/>
          <w:marRight w:val="0"/>
          <w:marTop w:val="0"/>
          <w:marBottom w:val="0"/>
          <w:divBdr>
            <w:top w:val="none" w:sz="0" w:space="0" w:color="auto"/>
            <w:left w:val="none" w:sz="0" w:space="0" w:color="auto"/>
            <w:bottom w:val="none" w:sz="0" w:space="0" w:color="auto"/>
            <w:right w:val="none" w:sz="0" w:space="0" w:color="auto"/>
          </w:divBdr>
        </w:div>
        <w:div w:id="1160462737">
          <w:marLeft w:val="0"/>
          <w:marRight w:val="0"/>
          <w:marTop w:val="0"/>
          <w:marBottom w:val="0"/>
          <w:divBdr>
            <w:top w:val="none" w:sz="0" w:space="0" w:color="auto"/>
            <w:left w:val="none" w:sz="0" w:space="0" w:color="auto"/>
            <w:bottom w:val="none" w:sz="0" w:space="0" w:color="auto"/>
            <w:right w:val="none" w:sz="0" w:space="0" w:color="auto"/>
          </w:divBdr>
        </w:div>
      </w:divsChild>
    </w:div>
    <w:div w:id="950549962">
      <w:bodyDiv w:val="1"/>
      <w:marLeft w:val="0"/>
      <w:marRight w:val="0"/>
      <w:marTop w:val="0"/>
      <w:marBottom w:val="0"/>
      <w:divBdr>
        <w:top w:val="none" w:sz="0" w:space="0" w:color="auto"/>
        <w:left w:val="none" w:sz="0" w:space="0" w:color="auto"/>
        <w:bottom w:val="none" w:sz="0" w:space="0" w:color="auto"/>
        <w:right w:val="none" w:sz="0" w:space="0" w:color="auto"/>
      </w:divBdr>
      <w:divsChild>
        <w:div w:id="173345089">
          <w:marLeft w:val="0"/>
          <w:marRight w:val="0"/>
          <w:marTop w:val="0"/>
          <w:marBottom w:val="0"/>
          <w:divBdr>
            <w:top w:val="none" w:sz="0" w:space="0" w:color="auto"/>
            <w:left w:val="none" w:sz="0" w:space="0" w:color="auto"/>
            <w:bottom w:val="none" w:sz="0" w:space="0" w:color="auto"/>
            <w:right w:val="none" w:sz="0" w:space="0" w:color="auto"/>
          </w:divBdr>
        </w:div>
        <w:div w:id="47806047">
          <w:marLeft w:val="0"/>
          <w:marRight w:val="0"/>
          <w:marTop w:val="0"/>
          <w:marBottom w:val="0"/>
          <w:divBdr>
            <w:top w:val="none" w:sz="0" w:space="0" w:color="auto"/>
            <w:left w:val="none" w:sz="0" w:space="0" w:color="auto"/>
            <w:bottom w:val="none" w:sz="0" w:space="0" w:color="auto"/>
            <w:right w:val="none" w:sz="0" w:space="0" w:color="auto"/>
          </w:divBdr>
        </w:div>
        <w:div w:id="288560932">
          <w:marLeft w:val="0"/>
          <w:marRight w:val="0"/>
          <w:marTop w:val="0"/>
          <w:marBottom w:val="0"/>
          <w:divBdr>
            <w:top w:val="none" w:sz="0" w:space="0" w:color="auto"/>
            <w:left w:val="none" w:sz="0" w:space="0" w:color="auto"/>
            <w:bottom w:val="none" w:sz="0" w:space="0" w:color="auto"/>
            <w:right w:val="none" w:sz="0" w:space="0" w:color="auto"/>
          </w:divBdr>
        </w:div>
        <w:div w:id="662245098">
          <w:marLeft w:val="0"/>
          <w:marRight w:val="0"/>
          <w:marTop w:val="0"/>
          <w:marBottom w:val="0"/>
          <w:divBdr>
            <w:top w:val="none" w:sz="0" w:space="0" w:color="auto"/>
            <w:left w:val="none" w:sz="0" w:space="0" w:color="auto"/>
            <w:bottom w:val="none" w:sz="0" w:space="0" w:color="auto"/>
            <w:right w:val="none" w:sz="0" w:space="0" w:color="auto"/>
          </w:divBdr>
        </w:div>
        <w:div w:id="1079979761">
          <w:marLeft w:val="0"/>
          <w:marRight w:val="0"/>
          <w:marTop w:val="0"/>
          <w:marBottom w:val="0"/>
          <w:divBdr>
            <w:top w:val="none" w:sz="0" w:space="0" w:color="auto"/>
            <w:left w:val="none" w:sz="0" w:space="0" w:color="auto"/>
            <w:bottom w:val="none" w:sz="0" w:space="0" w:color="auto"/>
            <w:right w:val="none" w:sz="0" w:space="0" w:color="auto"/>
          </w:divBdr>
        </w:div>
        <w:div w:id="860706066">
          <w:marLeft w:val="0"/>
          <w:marRight w:val="0"/>
          <w:marTop w:val="0"/>
          <w:marBottom w:val="0"/>
          <w:divBdr>
            <w:top w:val="none" w:sz="0" w:space="0" w:color="auto"/>
            <w:left w:val="none" w:sz="0" w:space="0" w:color="auto"/>
            <w:bottom w:val="none" w:sz="0" w:space="0" w:color="auto"/>
            <w:right w:val="none" w:sz="0" w:space="0" w:color="auto"/>
          </w:divBdr>
        </w:div>
        <w:div w:id="1294217102">
          <w:marLeft w:val="0"/>
          <w:marRight w:val="0"/>
          <w:marTop w:val="0"/>
          <w:marBottom w:val="0"/>
          <w:divBdr>
            <w:top w:val="none" w:sz="0" w:space="0" w:color="auto"/>
            <w:left w:val="none" w:sz="0" w:space="0" w:color="auto"/>
            <w:bottom w:val="none" w:sz="0" w:space="0" w:color="auto"/>
            <w:right w:val="none" w:sz="0" w:space="0" w:color="auto"/>
          </w:divBdr>
        </w:div>
        <w:div w:id="973213087">
          <w:marLeft w:val="0"/>
          <w:marRight w:val="0"/>
          <w:marTop w:val="0"/>
          <w:marBottom w:val="0"/>
          <w:divBdr>
            <w:top w:val="none" w:sz="0" w:space="0" w:color="auto"/>
            <w:left w:val="none" w:sz="0" w:space="0" w:color="auto"/>
            <w:bottom w:val="none" w:sz="0" w:space="0" w:color="auto"/>
            <w:right w:val="none" w:sz="0" w:space="0" w:color="auto"/>
          </w:divBdr>
        </w:div>
        <w:div w:id="1213081968">
          <w:marLeft w:val="0"/>
          <w:marRight w:val="0"/>
          <w:marTop w:val="0"/>
          <w:marBottom w:val="0"/>
          <w:divBdr>
            <w:top w:val="none" w:sz="0" w:space="0" w:color="auto"/>
            <w:left w:val="none" w:sz="0" w:space="0" w:color="auto"/>
            <w:bottom w:val="none" w:sz="0" w:space="0" w:color="auto"/>
            <w:right w:val="none" w:sz="0" w:space="0" w:color="auto"/>
          </w:divBdr>
        </w:div>
        <w:div w:id="2100321116">
          <w:marLeft w:val="0"/>
          <w:marRight w:val="0"/>
          <w:marTop w:val="0"/>
          <w:marBottom w:val="0"/>
          <w:divBdr>
            <w:top w:val="none" w:sz="0" w:space="0" w:color="auto"/>
            <w:left w:val="none" w:sz="0" w:space="0" w:color="auto"/>
            <w:bottom w:val="none" w:sz="0" w:space="0" w:color="auto"/>
            <w:right w:val="none" w:sz="0" w:space="0" w:color="auto"/>
          </w:divBdr>
        </w:div>
        <w:div w:id="1188639591">
          <w:marLeft w:val="0"/>
          <w:marRight w:val="0"/>
          <w:marTop w:val="0"/>
          <w:marBottom w:val="0"/>
          <w:divBdr>
            <w:top w:val="none" w:sz="0" w:space="0" w:color="auto"/>
            <w:left w:val="none" w:sz="0" w:space="0" w:color="auto"/>
            <w:bottom w:val="none" w:sz="0" w:space="0" w:color="auto"/>
            <w:right w:val="none" w:sz="0" w:space="0" w:color="auto"/>
          </w:divBdr>
        </w:div>
      </w:divsChild>
    </w:div>
    <w:div w:id="973028471">
      <w:bodyDiv w:val="1"/>
      <w:marLeft w:val="0"/>
      <w:marRight w:val="0"/>
      <w:marTop w:val="0"/>
      <w:marBottom w:val="0"/>
      <w:divBdr>
        <w:top w:val="none" w:sz="0" w:space="0" w:color="auto"/>
        <w:left w:val="none" w:sz="0" w:space="0" w:color="auto"/>
        <w:bottom w:val="none" w:sz="0" w:space="0" w:color="auto"/>
        <w:right w:val="none" w:sz="0" w:space="0" w:color="auto"/>
      </w:divBdr>
      <w:divsChild>
        <w:div w:id="2029671706">
          <w:marLeft w:val="0"/>
          <w:marRight w:val="0"/>
          <w:marTop w:val="0"/>
          <w:marBottom w:val="0"/>
          <w:divBdr>
            <w:top w:val="none" w:sz="0" w:space="0" w:color="auto"/>
            <w:left w:val="none" w:sz="0" w:space="0" w:color="auto"/>
            <w:bottom w:val="none" w:sz="0" w:space="0" w:color="auto"/>
            <w:right w:val="none" w:sz="0" w:space="0" w:color="auto"/>
          </w:divBdr>
        </w:div>
        <w:div w:id="744841839">
          <w:marLeft w:val="0"/>
          <w:marRight w:val="0"/>
          <w:marTop w:val="0"/>
          <w:marBottom w:val="0"/>
          <w:divBdr>
            <w:top w:val="none" w:sz="0" w:space="0" w:color="auto"/>
            <w:left w:val="none" w:sz="0" w:space="0" w:color="auto"/>
            <w:bottom w:val="none" w:sz="0" w:space="0" w:color="auto"/>
            <w:right w:val="none" w:sz="0" w:space="0" w:color="auto"/>
          </w:divBdr>
        </w:div>
        <w:div w:id="1531842478">
          <w:marLeft w:val="0"/>
          <w:marRight w:val="0"/>
          <w:marTop w:val="0"/>
          <w:marBottom w:val="0"/>
          <w:divBdr>
            <w:top w:val="none" w:sz="0" w:space="0" w:color="auto"/>
            <w:left w:val="none" w:sz="0" w:space="0" w:color="auto"/>
            <w:bottom w:val="none" w:sz="0" w:space="0" w:color="auto"/>
            <w:right w:val="none" w:sz="0" w:space="0" w:color="auto"/>
          </w:divBdr>
        </w:div>
        <w:div w:id="140539719">
          <w:marLeft w:val="0"/>
          <w:marRight w:val="0"/>
          <w:marTop w:val="0"/>
          <w:marBottom w:val="0"/>
          <w:divBdr>
            <w:top w:val="none" w:sz="0" w:space="0" w:color="auto"/>
            <w:left w:val="none" w:sz="0" w:space="0" w:color="auto"/>
            <w:bottom w:val="none" w:sz="0" w:space="0" w:color="auto"/>
            <w:right w:val="none" w:sz="0" w:space="0" w:color="auto"/>
          </w:divBdr>
        </w:div>
        <w:div w:id="1782187949">
          <w:marLeft w:val="0"/>
          <w:marRight w:val="0"/>
          <w:marTop w:val="0"/>
          <w:marBottom w:val="0"/>
          <w:divBdr>
            <w:top w:val="none" w:sz="0" w:space="0" w:color="auto"/>
            <w:left w:val="none" w:sz="0" w:space="0" w:color="auto"/>
            <w:bottom w:val="none" w:sz="0" w:space="0" w:color="auto"/>
            <w:right w:val="none" w:sz="0" w:space="0" w:color="auto"/>
          </w:divBdr>
        </w:div>
        <w:div w:id="1167554751">
          <w:marLeft w:val="0"/>
          <w:marRight w:val="0"/>
          <w:marTop w:val="0"/>
          <w:marBottom w:val="0"/>
          <w:divBdr>
            <w:top w:val="none" w:sz="0" w:space="0" w:color="auto"/>
            <w:left w:val="none" w:sz="0" w:space="0" w:color="auto"/>
            <w:bottom w:val="none" w:sz="0" w:space="0" w:color="auto"/>
            <w:right w:val="none" w:sz="0" w:space="0" w:color="auto"/>
          </w:divBdr>
        </w:div>
        <w:div w:id="2076973707">
          <w:marLeft w:val="0"/>
          <w:marRight w:val="0"/>
          <w:marTop w:val="0"/>
          <w:marBottom w:val="0"/>
          <w:divBdr>
            <w:top w:val="none" w:sz="0" w:space="0" w:color="auto"/>
            <w:left w:val="none" w:sz="0" w:space="0" w:color="auto"/>
            <w:bottom w:val="none" w:sz="0" w:space="0" w:color="auto"/>
            <w:right w:val="none" w:sz="0" w:space="0" w:color="auto"/>
          </w:divBdr>
        </w:div>
        <w:div w:id="1193687552">
          <w:marLeft w:val="0"/>
          <w:marRight w:val="0"/>
          <w:marTop w:val="0"/>
          <w:marBottom w:val="0"/>
          <w:divBdr>
            <w:top w:val="none" w:sz="0" w:space="0" w:color="auto"/>
            <w:left w:val="none" w:sz="0" w:space="0" w:color="auto"/>
            <w:bottom w:val="none" w:sz="0" w:space="0" w:color="auto"/>
            <w:right w:val="none" w:sz="0" w:space="0" w:color="auto"/>
          </w:divBdr>
        </w:div>
        <w:div w:id="2121753142">
          <w:marLeft w:val="0"/>
          <w:marRight w:val="0"/>
          <w:marTop w:val="0"/>
          <w:marBottom w:val="0"/>
          <w:divBdr>
            <w:top w:val="none" w:sz="0" w:space="0" w:color="auto"/>
            <w:left w:val="none" w:sz="0" w:space="0" w:color="auto"/>
            <w:bottom w:val="none" w:sz="0" w:space="0" w:color="auto"/>
            <w:right w:val="none" w:sz="0" w:space="0" w:color="auto"/>
          </w:divBdr>
        </w:div>
        <w:div w:id="2030594666">
          <w:marLeft w:val="0"/>
          <w:marRight w:val="0"/>
          <w:marTop w:val="0"/>
          <w:marBottom w:val="0"/>
          <w:divBdr>
            <w:top w:val="none" w:sz="0" w:space="0" w:color="auto"/>
            <w:left w:val="none" w:sz="0" w:space="0" w:color="auto"/>
            <w:bottom w:val="none" w:sz="0" w:space="0" w:color="auto"/>
            <w:right w:val="none" w:sz="0" w:space="0" w:color="auto"/>
          </w:divBdr>
        </w:div>
        <w:div w:id="1413508364">
          <w:marLeft w:val="0"/>
          <w:marRight w:val="0"/>
          <w:marTop w:val="0"/>
          <w:marBottom w:val="0"/>
          <w:divBdr>
            <w:top w:val="none" w:sz="0" w:space="0" w:color="auto"/>
            <w:left w:val="none" w:sz="0" w:space="0" w:color="auto"/>
            <w:bottom w:val="none" w:sz="0" w:space="0" w:color="auto"/>
            <w:right w:val="none" w:sz="0" w:space="0" w:color="auto"/>
          </w:divBdr>
        </w:div>
        <w:div w:id="1984238232">
          <w:marLeft w:val="0"/>
          <w:marRight w:val="0"/>
          <w:marTop w:val="0"/>
          <w:marBottom w:val="0"/>
          <w:divBdr>
            <w:top w:val="none" w:sz="0" w:space="0" w:color="auto"/>
            <w:left w:val="none" w:sz="0" w:space="0" w:color="auto"/>
            <w:bottom w:val="none" w:sz="0" w:space="0" w:color="auto"/>
            <w:right w:val="none" w:sz="0" w:space="0" w:color="auto"/>
          </w:divBdr>
        </w:div>
        <w:div w:id="108822187">
          <w:marLeft w:val="0"/>
          <w:marRight w:val="0"/>
          <w:marTop w:val="0"/>
          <w:marBottom w:val="0"/>
          <w:divBdr>
            <w:top w:val="none" w:sz="0" w:space="0" w:color="auto"/>
            <w:left w:val="none" w:sz="0" w:space="0" w:color="auto"/>
            <w:bottom w:val="none" w:sz="0" w:space="0" w:color="auto"/>
            <w:right w:val="none" w:sz="0" w:space="0" w:color="auto"/>
          </w:divBdr>
        </w:div>
        <w:div w:id="1403944494">
          <w:marLeft w:val="0"/>
          <w:marRight w:val="0"/>
          <w:marTop w:val="0"/>
          <w:marBottom w:val="0"/>
          <w:divBdr>
            <w:top w:val="none" w:sz="0" w:space="0" w:color="auto"/>
            <w:left w:val="none" w:sz="0" w:space="0" w:color="auto"/>
            <w:bottom w:val="none" w:sz="0" w:space="0" w:color="auto"/>
            <w:right w:val="none" w:sz="0" w:space="0" w:color="auto"/>
          </w:divBdr>
        </w:div>
        <w:div w:id="1848445363">
          <w:marLeft w:val="0"/>
          <w:marRight w:val="0"/>
          <w:marTop w:val="0"/>
          <w:marBottom w:val="0"/>
          <w:divBdr>
            <w:top w:val="none" w:sz="0" w:space="0" w:color="auto"/>
            <w:left w:val="none" w:sz="0" w:space="0" w:color="auto"/>
            <w:bottom w:val="none" w:sz="0" w:space="0" w:color="auto"/>
            <w:right w:val="none" w:sz="0" w:space="0" w:color="auto"/>
          </w:divBdr>
        </w:div>
        <w:div w:id="900940786">
          <w:marLeft w:val="0"/>
          <w:marRight w:val="0"/>
          <w:marTop w:val="0"/>
          <w:marBottom w:val="0"/>
          <w:divBdr>
            <w:top w:val="none" w:sz="0" w:space="0" w:color="auto"/>
            <w:left w:val="none" w:sz="0" w:space="0" w:color="auto"/>
            <w:bottom w:val="none" w:sz="0" w:space="0" w:color="auto"/>
            <w:right w:val="none" w:sz="0" w:space="0" w:color="auto"/>
          </w:divBdr>
        </w:div>
        <w:div w:id="1610351666">
          <w:marLeft w:val="0"/>
          <w:marRight w:val="0"/>
          <w:marTop w:val="0"/>
          <w:marBottom w:val="0"/>
          <w:divBdr>
            <w:top w:val="none" w:sz="0" w:space="0" w:color="auto"/>
            <w:left w:val="none" w:sz="0" w:space="0" w:color="auto"/>
            <w:bottom w:val="none" w:sz="0" w:space="0" w:color="auto"/>
            <w:right w:val="none" w:sz="0" w:space="0" w:color="auto"/>
          </w:divBdr>
        </w:div>
        <w:div w:id="1257206825">
          <w:marLeft w:val="0"/>
          <w:marRight w:val="0"/>
          <w:marTop w:val="0"/>
          <w:marBottom w:val="0"/>
          <w:divBdr>
            <w:top w:val="none" w:sz="0" w:space="0" w:color="auto"/>
            <w:left w:val="none" w:sz="0" w:space="0" w:color="auto"/>
            <w:bottom w:val="none" w:sz="0" w:space="0" w:color="auto"/>
            <w:right w:val="none" w:sz="0" w:space="0" w:color="auto"/>
          </w:divBdr>
        </w:div>
        <w:div w:id="1755516711">
          <w:marLeft w:val="0"/>
          <w:marRight w:val="0"/>
          <w:marTop w:val="0"/>
          <w:marBottom w:val="0"/>
          <w:divBdr>
            <w:top w:val="none" w:sz="0" w:space="0" w:color="auto"/>
            <w:left w:val="none" w:sz="0" w:space="0" w:color="auto"/>
            <w:bottom w:val="none" w:sz="0" w:space="0" w:color="auto"/>
            <w:right w:val="none" w:sz="0" w:space="0" w:color="auto"/>
          </w:divBdr>
        </w:div>
        <w:div w:id="309093201">
          <w:marLeft w:val="0"/>
          <w:marRight w:val="0"/>
          <w:marTop w:val="0"/>
          <w:marBottom w:val="0"/>
          <w:divBdr>
            <w:top w:val="none" w:sz="0" w:space="0" w:color="auto"/>
            <w:left w:val="none" w:sz="0" w:space="0" w:color="auto"/>
            <w:bottom w:val="none" w:sz="0" w:space="0" w:color="auto"/>
            <w:right w:val="none" w:sz="0" w:space="0" w:color="auto"/>
          </w:divBdr>
        </w:div>
        <w:div w:id="2139520659">
          <w:marLeft w:val="0"/>
          <w:marRight w:val="0"/>
          <w:marTop w:val="0"/>
          <w:marBottom w:val="0"/>
          <w:divBdr>
            <w:top w:val="none" w:sz="0" w:space="0" w:color="auto"/>
            <w:left w:val="none" w:sz="0" w:space="0" w:color="auto"/>
            <w:bottom w:val="none" w:sz="0" w:space="0" w:color="auto"/>
            <w:right w:val="none" w:sz="0" w:space="0" w:color="auto"/>
          </w:divBdr>
        </w:div>
        <w:div w:id="1804494483">
          <w:marLeft w:val="0"/>
          <w:marRight w:val="0"/>
          <w:marTop w:val="0"/>
          <w:marBottom w:val="0"/>
          <w:divBdr>
            <w:top w:val="none" w:sz="0" w:space="0" w:color="auto"/>
            <w:left w:val="none" w:sz="0" w:space="0" w:color="auto"/>
            <w:bottom w:val="none" w:sz="0" w:space="0" w:color="auto"/>
            <w:right w:val="none" w:sz="0" w:space="0" w:color="auto"/>
          </w:divBdr>
        </w:div>
        <w:div w:id="172767235">
          <w:marLeft w:val="0"/>
          <w:marRight w:val="0"/>
          <w:marTop w:val="0"/>
          <w:marBottom w:val="0"/>
          <w:divBdr>
            <w:top w:val="none" w:sz="0" w:space="0" w:color="auto"/>
            <w:left w:val="none" w:sz="0" w:space="0" w:color="auto"/>
            <w:bottom w:val="none" w:sz="0" w:space="0" w:color="auto"/>
            <w:right w:val="none" w:sz="0" w:space="0" w:color="auto"/>
          </w:divBdr>
        </w:div>
        <w:div w:id="888150615">
          <w:marLeft w:val="0"/>
          <w:marRight w:val="0"/>
          <w:marTop w:val="0"/>
          <w:marBottom w:val="0"/>
          <w:divBdr>
            <w:top w:val="none" w:sz="0" w:space="0" w:color="auto"/>
            <w:left w:val="none" w:sz="0" w:space="0" w:color="auto"/>
            <w:bottom w:val="none" w:sz="0" w:space="0" w:color="auto"/>
            <w:right w:val="none" w:sz="0" w:space="0" w:color="auto"/>
          </w:divBdr>
        </w:div>
        <w:div w:id="1983652936">
          <w:marLeft w:val="0"/>
          <w:marRight w:val="0"/>
          <w:marTop w:val="0"/>
          <w:marBottom w:val="0"/>
          <w:divBdr>
            <w:top w:val="none" w:sz="0" w:space="0" w:color="auto"/>
            <w:left w:val="none" w:sz="0" w:space="0" w:color="auto"/>
            <w:bottom w:val="none" w:sz="0" w:space="0" w:color="auto"/>
            <w:right w:val="none" w:sz="0" w:space="0" w:color="auto"/>
          </w:divBdr>
        </w:div>
        <w:div w:id="2007826961">
          <w:marLeft w:val="0"/>
          <w:marRight w:val="0"/>
          <w:marTop w:val="0"/>
          <w:marBottom w:val="0"/>
          <w:divBdr>
            <w:top w:val="none" w:sz="0" w:space="0" w:color="auto"/>
            <w:left w:val="none" w:sz="0" w:space="0" w:color="auto"/>
            <w:bottom w:val="none" w:sz="0" w:space="0" w:color="auto"/>
            <w:right w:val="none" w:sz="0" w:space="0" w:color="auto"/>
          </w:divBdr>
        </w:div>
        <w:div w:id="646277912">
          <w:marLeft w:val="0"/>
          <w:marRight w:val="0"/>
          <w:marTop w:val="0"/>
          <w:marBottom w:val="0"/>
          <w:divBdr>
            <w:top w:val="none" w:sz="0" w:space="0" w:color="auto"/>
            <w:left w:val="none" w:sz="0" w:space="0" w:color="auto"/>
            <w:bottom w:val="none" w:sz="0" w:space="0" w:color="auto"/>
            <w:right w:val="none" w:sz="0" w:space="0" w:color="auto"/>
          </w:divBdr>
        </w:div>
        <w:div w:id="352072083">
          <w:marLeft w:val="0"/>
          <w:marRight w:val="0"/>
          <w:marTop w:val="0"/>
          <w:marBottom w:val="0"/>
          <w:divBdr>
            <w:top w:val="none" w:sz="0" w:space="0" w:color="auto"/>
            <w:left w:val="none" w:sz="0" w:space="0" w:color="auto"/>
            <w:bottom w:val="none" w:sz="0" w:space="0" w:color="auto"/>
            <w:right w:val="none" w:sz="0" w:space="0" w:color="auto"/>
          </w:divBdr>
        </w:div>
        <w:div w:id="1757248304">
          <w:marLeft w:val="0"/>
          <w:marRight w:val="0"/>
          <w:marTop w:val="0"/>
          <w:marBottom w:val="0"/>
          <w:divBdr>
            <w:top w:val="none" w:sz="0" w:space="0" w:color="auto"/>
            <w:left w:val="none" w:sz="0" w:space="0" w:color="auto"/>
            <w:bottom w:val="none" w:sz="0" w:space="0" w:color="auto"/>
            <w:right w:val="none" w:sz="0" w:space="0" w:color="auto"/>
          </w:divBdr>
        </w:div>
        <w:div w:id="269166169">
          <w:marLeft w:val="0"/>
          <w:marRight w:val="0"/>
          <w:marTop w:val="0"/>
          <w:marBottom w:val="0"/>
          <w:divBdr>
            <w:top w:val="none" w:sz="0" w:space="0" w:color="auto"/>
            <w:left w:val="none" w:sz="0" w:space="0" w:color="auto"/>
            <w:bottom w:val="none" w:sz="0" w:space="0" w:color="auto"/>
            <w:right w:val="none" w:sz="0" w:space="0" w:color="auto"/>
          </w:divBdr>
        </w:div>
        <w:div w:id="916211896">
          <w:marLeft w:val="0"/>
          <w:marRight w:val="0"/>
          <w:marTop w:val="0"/>
          <w:marBottom w:val="0"/>
          <w:divBdr>
            <w:top w:val="none" w:sz="0" w:space="0" w:color="auto"/>
            <w:left w:val="none" w:sz="0" w:space="0" w:color="auto"/>
            <w:bottom w:val="none" w:sz="0" w:space="0" w:color="auto"/>
            <w:right w:val="none" w:sz="0" w:space="0" w:color="auto"/>
          </w:divBdr>
        </w:div>
        <w:div w:id="288899687">
          <w:marLeft w:val="0"/>
          <w:marRight w:val="0"/>
          <w:marTop w:val="0"/>
          <w:marBottom w:val="0"/>
          <w:divBdr>
            <w:top w:val="none" w:sz="0" w:space="0" w:color="auto"/>
            <w:left w:val="none" w:sz="0" w:space="0" w:color="auto"/>
            <w:bottom w:val="none" w:sz="0" w:space="0" w:color="auto"/>
            <w:right w:val="none" w:sz="0" w:space="0" w:color="auto"/>
          </w:divBdr>
        </w:div>
        <w:div w:id="1206218361">
          <w:marLeft w:val="0"/>
          <w:marRight w:val="0"/>
          <w:marTop w:val="0"/>
          <w:marBottom w:val="0"/>
          <w:divBdr>
            <w:top w:val="none" w:sz="0" w:space="0" w:color="auto"/>
            <w:left w:val="none" w:sz="0" w:space="0" w:color="auto"/>
            <w:bottom w:val="none" w:sz="0" w:space="0" w:color="auto"/>
            <w:right w:val="none" w:sz="0" w:space="0" w:color="auto"/>
          </w:divBdr>
        </w:div>
        <w:div w:id="1262489960">
          <w:marLeft w:val="0"/>
          <w:marRight w:val="0"/>
          <w:marTop w:val="0"/>
          <w:marBottom w:val="0"/>
          <w:divBdr>
            <w:top w:val="none" w:sz="0" w:space="0" w:color="auto"/>
            <w:left w:val="none" w:sz="0" w:space="0" w:color="auto"/>
            <w:bottom w:val="none" w:sz="0" w:space="0" w:color="auto"/>
            <w:right w:val="none" w:sz="0" w:space="0" w:color="auto"/>
          </w:divBdr>
        </w:div>
        <w:div w:id="1376661769">
          <w:marLeft w:val="0"/>
          <w:marRight w:val="0"/>
          <w:marTop w:val="0"/>
          <w:marBottom w:val="0"/>
          <w:divBdr>
            <w:top w:val="none" w:sz="0" w:space="0" w:color="auto"/>
            <w:left w:val="none" w:sz="0" w:space="0" w:color="auto"/>
            <w:bottom w:val="none" w:sz="0" w:space="0" w:color="auto"/>
            <w:right w:val="none" w:sz="0" w:space="0" w:color="auto"/>
          </w:divBdr>
        </w:div>
        <w:div w:id="715467790">
          <w:marLeft w:val="0"/>
          <w:marRight w:val="0"/>
          <w:marTop w:val="0"/>
          <w:marBottom w:val="0"/>
          <w:divBdr>
            <w:top w:val="none" w:sz="0" w:space="0" w:color="auto"/>
            <w:left w:val="none" w:sz="0" w:space="0" w:color="auto"/>
            <w:bottom w:val="none" w:sz="0" w:space="0" w:color="auto"/>
            <w:right w:val="none" w:sz="0" w:space="0" w:color="auto"/>
          </w:divBdr>
        </w:div>
        <w:div w:id="64960006">
          <w:marLeft w:val="0"/>
          <w:marRight w:val="0"/>
          <w:marTop w:val="0"/>
          <w:marBottom w:val="0"/>
          <w:divBdr>
            <w:top w:val="none" w:sz="0" w:space="0" w:color="auto"/>
            <w:left w:val="none" w:sz="0" w:space="0" w:color="auto"/>
            <w:bottom w:val="none" w:sz="0" w:space="0" w:color="auto"/>
            <w:right w:val="none" w:sz="0" w:space="0" w:color="auto"/>
          </w:divBdr>
        </w:div>
        <w:div w:id="1175918481">
          <w:marLeft w:val="0"/>
          <w:marRight w:val="0"/>
          <w:marTop w:val="0"/>
          <w:marBottom w:val="0"/>
          <w:divBdr>
            <w:top w:val="none" w:sz="0" w:space="0" w:color="auto"/>
            <w:left w:val="none" w:sz="0" w:space="0" w:color="auto"/>
            <w:bottom w:val="none" w:sz="0" w:space="0" w:color="auto"/>
            <w:right w:val="none" w:sz="0" w:space="0" w:color="auto"/>
          </w:divBdr>
        </w:div>
        <w:div w:id="297102754">
          <w:marLeft w:val="0"/>
          <w:marRight w:val="0"/>
          <w:marTop w:val="0"/>
          <w:marBottom w:val="0"/>
          <w:divBdr>
            <w:top w:val="none" w:sz="0" w:space="0" w:color="auto"/>
            <w:left w:val="none" w:sz="0" w:space="0" w:color="auto"/>
            <w:bottom w:val="none" w:sz="0" w:space="0" w:color="auto"/>
            <w:right w:val="none" w:sz="0" w:space="0" w:color="auto"/>
          </w:divBdr>
        </w:div>
        <w:div w:id="735977530">
          <w:marLeft w:val="0"/>
          <w:marRight w:val="0"/>
          <w:marTop w:val="0"/>
          <w:marBottom w:val="0"/>
          <w:divBdr>
            <w:top w:val="none" w:sz="0" w:space="0" w:color="auto"/>
            <w:left w:val="none" w:sz="0" w:space="0" w:color="auto"/>
            <w:bottom w:val="none" w:sz="0" w:space="0" w:color="auto"/>
            <w:right w:val="none" w:sz="0" w:space="0" w:color="auto"/>
          </w:divBdr>
        </w:div>
        <w:div w:id="1848401485">
          <w:marLeft w:val="0"/>
          <w:marRight w:val="0"/>
          <w:marTop w:val="0"/>
          <w:marBottom w:val="0"/>
          <w:divBdr>
            <w:top w:val="none" w:sz="0" w:space="0" w:color="auto"/>
            <w:left w:val="none" w:sz="0" w:space="0" w:color="auto"/>
            <w:bottom w:val="none" w:sz="0" w:space="0" w:color="auto"/>
            <w:right w:val="none" w:sz="0" w:space="0" w:color="auto"/>
          </w:divBdr>
        </w:div>
        <w:div w:id="940408164">
          <w:marLeft w:val="0"/>
          <w:marRight w:val="0"/>
          <w:marTop w:val="0"/>
          <w:marBottom w:val="0"/>
          <w:divBdr>
            <w:top w:val="none" w:sz="0" w:space="0" w:color="auto"/>
            <w:left w:val="none" w:sz="0" w:space="0" w:color="auto"/>
            <w:bottom w:val="none" w:sz="0" w:space="0" w:color="auto"/>
            <w:right w:val="none" w:sz="0" w:space="0" w:color="auto"/>
          </w:divBdr>
        </w:div>
        <w:div w:id="533344677">
          <w:marLeft w:val="0"/>
          <w:marRight w:val="0"/>
          <w:marTop w:val="0"/>
          <w:marBottom w:val="0"/>
          <w:divBdr>
            <w:top w:val="none" w:sz="0" w:space="0" w:color="auto"/>
            <w:left w:val="none" w:sz="0" w:space="0" w:color="auto"/>
            <w:bottom w:val="none" w:sz="0" w:space="0" w:color="auto"/>
            <w:right w:val="none" w:sz="0" w:space="0" w:color="auto"/>
          </w:divBdr>
        </w:div>
        <w:div w:id="1786994894">
          <w:marLeft w:val="0"/>
          <w:marRight w:val="0"/>
          <w:marTop w:val="0"/>
          <w:marBottom w:val="0"/>
          <w:divBdr>
            <w:top w:val="none" w:sz="0" w:space="0" w:color="auto"/>
            <w:left w:val="none" w:sz="0" w:space="0" w:color="auto"/>
            <w:bottom w:val="none" w:sz="0" w:space="0" w:color="auto"/>
            <w:right w:val="none" w:sz="0" w:space="0" w:color="auto"/>
          </w:divBdr>
        </w:div>
        <w:div w:id="1058476272">
          <w:marLeft w:val="0"/>
          <w:marRight w:val="0"/>
          <w:marTop w:val="0"/>
          <w:marBottom w:val="0"/>
          <w:divBdr>
            <w:top w:val="none" w:sz="0" w:space="0" w:color="auto"/>
            <w:left w:val="none" w:sz="0" w:space="0" w:color="auto"/>
            <w:bottom w:val="none" w:sz="0" w:space="0" w:color="auto"/>
            <w:right w:val="none" w:sz="0" w:space="0" w:color="auto"/>
          </w:divBdr>
        </w:div>
        <w:div w:id="731076186">
          <w:marLeft w:val="0"/>
          <w:marRight w:val="0"/>
          <w:marTop w:val="0"/>
          <w:marBottom w:val="0"/>
          <w:divBdr>
            <w:top w:val="none" w:sz="0" w:space="0" w:color="auto"/>
            <w:left w:val="none" w:sz="0" w:space="0" w:color="auto"/>
            <w:bottom w:val="none" w:sz="0" w:space="0" w:color="auto"/>
            <w:right w:val="none" w:sz="0" w:space="0" w:color="auto"/>
          </w:divBdr>
        </w:div>
        <w:div w:id="1158617519">
          <w:marLeft w:val="0"/>
          <w:marRight w:val="0"/>
          <w:marTop w:val="0"/>
          <w:marBottom w:val="0"/>
          <w:divBdr>
            <w:top w:val="none" w:sz="0" w:space="0" w:color="auto"/>
            <w:left w:val="none" w:sz="0" w:space="0" w:color="auto"/>
            <w:bottom w:val="none" w:sz="0" w:space="0" w:color="auto"/>
            <w:right w:val="none" w:sz="0" w:space="0" w:color="auto"/>
          </w:divBdr>
        </w:div>
        <w:div w:id="1952321200">
          <w:marLeft w:val="0"/>
          <w:marRight w:val="0"/>
          <w:marTop w:val="0"/>
          <w:marBottom w:val="0"/>
          <w:divBdr>
            <w:top w:val="none" w:sz="0" w:space="0" w:color="auto"/>
            <w:left w:val="none" w:sz="0" w:space="0" w:color="auto"/>
            <w:bottom w:val="none" w:sz="0" w:space="0" w:color="auto"/>
            <w:right w:val="none" w:sz="0" w:space="0" w:color="auto"/>
          </w:divBdr>
        </w:div>
        <w:div w:id="468205643">
          <w:marLeft w:val="0"/>
          <w:marRight w:val="0"/>
          <w:marTop w:val="0"/>
          <w:marBottom w:val="0"/>
          <w:divBdr>
            <w:top w:val="none" w:sz="0" w:space="0" w:color="auto"/>
            <w:left w:val="none" w:sz="0" w:space="0" w:color="auto"/>
            <w:bottom w:val="none" w:sz="0" w:space="0" w:color="auto"/>
            <w:right w:val="none" w:sz="0" w:space="0" w:color="auto"/>
          </w:divBdr>
        </w:div>
        <w:div w:id="1845778021">
          <w:marLeft w:val="0"/>
          <w:marRight w:val="0"/>
          <w:marTop w:val="0"/>
          <w:marBottom w:val="0"/>
          <w:divBdr>
            <w:top w:val="none" w:sz="0" w:space="0" w:color="auto"/>
            <w:left w:val="none" w:sz="0" w:space="0" w:color="auto"/>
            <w:bottom w:val="none" w:sz="0" w:space="0" w:color="auto"/>
            <w:right w:val="none" w:sz="0" w:space="0" w:color="auto"/>
          </w:divBdr>
        </w:div>
        <w:div w:id="492069729">
          <w:marLeft w:val="0"/>
          <w:marRight w:val="0"/>
          <w:marTop w:val="0"/>
          <w:marBottom w:val="0"/>
          <w:divBdr>
            <w:top w:val="none" w:sz="0" w:space="0" w:color="auto"/>
            <w:left w:val="none" w:sz="0" w:space="0" w:color="auto"/>
            <w:bottom w:val="none" w:sz="0" w:space="0" w:color="auto"/>
            <w:right w:val="none" w:sz="0" w:space="0" w:color="auto"/>
          </w:divBdr>
        </w:div>
        <w:div w:id="829759719">
          <w:marLeft w:val="0"/>
          <w:marRight w:val="0"/>
          <w:marTop w:val="0"/>
          <w:marBottom w:val="0"/>
          <w:divBdr>
            <w:top w:val="none" w:sz="0" w:space="0" w:color="auto"/>
            <w:left w:val="none" w:sz="0" w:space="0" w:color="auto"/>
            <w:bottom w:val="none" w:sz="0" w:space="0" w:color="auto"/>
            <w:right w:val="none" w:sz="0" w:space="0" w:color="auto"/>
          </w:divBdr>
        </w:div>
        <w:div w:id="1007096733">
          <w:marLeft w:val="0"/>
          <w:marRight w:val="0"/>
          <w:marTop w:val="0"/>
          <w:marBottom w:val="0"/>
          <w:divBdr>
            <w:top w:val="none" w:sz="0" w:space="0" w:color="auto"/>
            <w:left w:val="none" w:sz="0" w:space="0" w:color="auto"/>
            <w:bottom w:val="none" w:sz="0" w:space="0" w:color="auto"/>
            <w:right w:val="none" w:sz="0" w:space="0" w:color="auto"/>
          </w:divBdr>
        </w:div>
        <w:div w:id="911819021">
          <w:marLeft w:val="0"/>
          <w:marRight w:val="0"/>
          <w:marTop w:val="0"/>
          <w:marBottom w:val="0"/>
          <w:divBdr>
            <w:top w:val="none" w:sz="0" w:space="0" w:color="auto"/>
            <w:left w:val="none" w:sz="0" w:space="0" w:color="auto"/>
            <w:bottom w:val="none" w:sz="0" w:space="0" w:color="auto"/>
            <w:right w:val="none" w:sz="0" w:space="0" w:color="auto"/>
          </w:divBdr>
        </w:div>
        <w:div w:id="2042438242">
          <w:marLeft w:val="0"/>
          <w:marRight w:val="0"/>
          <w:marTop w:val="0"/>
          <w:marBottom w:val="0"/>
          <w:divBdr>
            <w:top w:val="none" w:sz="0" w:space="0" w:color="auto"/>
            <w:left w:val="none" w:sz="0" w:space="0" w:color="auto"/>
            <w:bottom w:val="none" w:sz="0" w:space="0" w:color="auto"/>
            <w:right w:val="none" w:sz="0" w:space="0" w:color="auto"/>
          </w:divBdr>
        </w:div>
        <w:div w:id="277832914">
          <w:marLeft w:val="0"/>
          <w:marRight w:val="0"/>
          <w:marTop w:val="0"/>
          <w:marBottom w:val="0"/>
          <w:divBdr>
            <w:top w:val="none" w:sz="0" w:space="0" w:color="auto"/>
            <w:left w:val="none" w:sz="0" w:space="0" w:color="auto"/>
            <w:bottom w:val="none" w:sz="0" w:space="0" w:color="auto"/>
            <w:right w:val="none" w:sz="0" w:space="0" w:color="auto"/>
          </w:divBdr>
        </w:div>
        <w:div w:id="2115467848">
          <w:marLeft w:val="0"/>
          <w:marRight w:val="0"/>
          <w:marTop w:val="0"/>
          <w:marBottom w:val="0"/>
          <w:divBdr>
            <w:top w:val="none" w:sz="0" w:space="0" w:color="auto"/>
            <w:left w:val="none" w:sz="0" w:space="0" w:color="auto"/>
            <w:bottom w:val="none" w:sz="0" w:space="0" w:color="auto"/>
            <w:right w:val="none" w:sz="0" w:space="0" w:color="auto"/>
          </w:divBdr>
        </w:div>
        <w:div w:id="1829053483">
          <w:marLeft w:val="0"/>
          <w:marRight w:val="0"/>
          <w:marTop w:val="0"/>
          <w:marBottom w:val="0"/>
          <w:divBdr>
            <w:top w:val="none" w:sz="0" w:space="0" w:color="auto"/>
            <w:left w:val="none" w:sz="0" w:space="0" w:color="auto"/>
            <w:bottom w:val="none" w:sz="0" w:space="0" w:color="auto"/>
            <w:right w:val="none" w:sz="0" w:space="0" w:color="auto"/>
          </w:divBdr>
        </w:div>
        <w:div w:id="1603028838">
          <w:marLeft w:val="0"/>
          <w:marRight w:val="0"/>
          <w:marTop w:val="0"/>
          <w:marBottom w:val="0"/>
          <w:divBdr>
            <w:top w:val="none" w:sz="0" w:space="0" w:color="auto"/>
            <w:left w:val="none" w:sz="0" w:space="0" w:color="auto"/>
            <w:bottom w:val="none" w:sz="0" w:space="0" w:color="auto"/>
            <w:right w:val="none" w:sz="0" w:space="0" w:color="auto"/>
          </w:divBdr>
        </w:div>
        <w:div w:id="765998516">
          <w:marLeft w:val="0"/>
          <w:marRight w:val="0"/>
          <w:marTop w:val="0"/>
          <w:marBottom w:val="0"/>
          <w:divBdr>
            <w:top w:val="none" w:sz="0" w:space="0" w:color="auto"/>
            <w:left w:val="none" w:sz="0" w:space="0" w:color="auto"/>
            <w:bottom w:val="none" w:sz="0" w:space="0" w:color="auto"/>
            <w:right w:val="none" w:sz="0" w:space="0" w:color="auto"/>
          </w:divBdr>
        </w:div>
        <w:div w:id="1736777947">
          <w:marLeft w:val="0"/>
          <w:marRight w:val="0"/>
          <w:marTop w:val="0"/>
          <w:marBottom w:val="0"/>
          <w:divBdr>
            <w:top w:val="none" w:sz="0" w:space="0" w:color="auto"/>
            <w:left w:val="none" w:sz="0" w:space="0" w:color="auto"/>
            <w:bottom w:val="none" w:sz="0" w:space="0" w:color="auto"/>
            <w:right w:val="none" w:sz="0" w:space="0" w:color="auto"/>
          </w:divBdr>
        </w:div>
        <w:div w:id="2137991126">
          <w:marLeft w:val="0"/>
          <w:marRight w:val="0"/>
          <w:marTop w:val="0"/>
          <w:marBottom w:val="0"/>
          <w:divBdr>
            <w:top w:val="none" w:sz="0" w:space="0" w:color="auto"/>
            <w:left w:val="none" w:sz="0" w:space="0" w:color="auto"/>
            <w:bottom w:val="none" w:sz="0" w:space="0" w:color="auto"/>
            <w:right w:val="none" w:sz="0" w:space="0" w:color="auto"/>
          </w:divBdr>
        </w:div>
        <w:div w:id="446388531">
          <w:marLeft w:val="0"/>
          <w:marRight w:val="0"/>
          <w:marTop w:val="0"/>
          <w:marBottom w:val="0"/>
          <w:divBdr>
            <w:top w:val="none" w:sz="0" w:space="0" w:color="auto"/>
            <w:left w:val="none" w:sz="0" w:space="0" w:color="auto"/>
            <w:bottom w:val="none" w:sz="0" w:space="0" w:color="auto"/>
            <w:right w:val="none" w:sz="0" w:space="0" w:color="auto"/>
          </w:divBdr>
        </w:div>
        <w:div w:id="177084716">
          <w:marLeft w:val="0"/>
          <w:marRight w:val="0"/>
          <w:marTop w:val="0"/>
          <w:marBottom w:val="0"/>
          <w:divBdr>
            <w:top w:val="none" w:sz="0" w:space="0" w:color="auto"/>
            <w:left w:val="none" w:sz="0" w:space="0" w:color="auto"/>
            <w:bottom w:val="none" w:sz="0" w:space="0" w:color="auto"/>
            <w:right w:val="none" w:sz="0" w:space="0" w:color="auto"/>
          </w:divBdr>
        </w:div>
        <w:div w:id="1323971610">
          <w:marLeft w:val="0"/>
          <w:marRight w:val="0"/>
          <w:marTop w:val="0"/>
          <w:marBottom w:val="0"/>
          <w:divBdr>
            <w:top w:val="none" w:sz="0" w:space="0" w:color="auto"/>
            <w:left w:val="none" w:sz="0" w:space="0" w:color="auto"/>
            <w:bottom w:val="none" w:sz="0" w:space="0" w:color="auto"/>
            <w:right w:val="none" w:sz="0" w:space="0" w:color="auto"/>
          </w:divBdr>
        </w:div>
        <w:div w:id="955331036">
          <w:marLeft w:val="0"/>
          <w:marRight w:val="0"/>
          <w:marTop w:val="0"/>
          <w:marBottom w:val="0"/>
          <w:divBdr>
            <w:top w:val="none" w:sz="0" w:space="0" w:color="auto"/>
            <w:left w:val="none" w:sz="0" w:space="0" w:color="auto"/>
            <w:bottom w:val="none" w:sz="0" w:space="0" w:color="auto"/>
            <w:right w:val="none" w:sz="0" w:space="0" w:color="auto"/>
          </w:divBdr>
        </w:div>
        <w:div w:id="891038950">
          <w:marLeft w:val="0"/>
          <w:marRight w:val="0"/>
          <w:marTop w:val="0"/>
          <w:marBottom w:val="0"/>
          <w:divBdr>
            <w:top w:val="none" w:sz="0" w:space="0" w:color="auto"/>
            <w:left w:val="none" w:sz="0" w:space="0" w:color="auto"/>
            <w:bottom w:val="none" w:sz="0" w:space="0" w:color="auto"/>
            <w:right w:val="none" w:sz="0" w:space="0" w:color="auto"/>
          </w:divBdr>
        </w:div>
      </w:divsChild>
    </w:div>
    <w:div w:id="1336030782">
      <w:bodyDiv w:val="1"/>
      <w:marLeft w:val="0"/>
      <w:marRight w:val="0"/>
      <w:marTop w:val="0"/>
      <w:marBottom w:val="0"/>
      <w:divBdr>
        <w:top w:val="none" w:sz="0" w:space="0" w:color="auto"/>
        <w:left w:val="none" w:sz="0" w:space="0" w:color="auto"/>
        <w:bottom w:val="none" w:sz="0" w:space="0" w:color="auto"/>
        <w:right w:val="none" w:sz="0" w:space="0" w:color="auto"/>
      </w:divBdr>
      <w:divsChild>
        <w:div w:id="1709333210">
          <w:marLeft w:val="0"/>
          <w:marRight w:val="0"/>
          <w:marTop w:val="0"/>
          <w:marBottom w:val="0"/>
          <w:divBdr>
            <w:top w:val="none" w:sz="0" w:space="0" w:color="auto"/>
            <w:left w:val="none" w:sz="0" w:space="0" w:color="auto"/>
            <w:bottom w:val="none" w:sz="0" w:space="0" w:color="auto"/>
            <w:right w:val="none" w:sz="0" w:space="0" w:color="auto"/>
          </w:divBdr>
        </w:div>
        <w:div w:id="412508771">
          <w:marLeft w:val="0"/>
          <w:marRight w:val="0"/>
          <w:marTop w:val="0"/>
          <w:marBottom w:val="0"/>
          <w:divBdr>
            <w:top w:val="none" w:sz="0" w:space="0" w:color="auto"/>
            <w:left w:val="none" w:sz="0" w:space="0" w:color="auto"/>
            <w:bottom w:val="none" w:sz="0" w:space="0" w:color="auto"/>
            <w:right w:val="none" w:sz="0" w:space="0" w:color="auto"/>
          </w:divBdr>
        </w:div>
        <w:div w:id="954214531">
          <w:marLeft w:val="0"/>
          <w:marRight w:val="0"/>
          <w:marTop w:val="0"/>
          <w:marBottom w:val="0"/>
          <w:divBdr>
            <w:top w:val="none" w:sz="0" w:space="0" w:color="auto"/>
            <w:left w:val="none" w:sz="0" w:space="0" w:color="auto"/>
            <w:bottom w:val="none" w:sz="0" w:space="0" w:color="auto"/>
            <w:right w:val="none" w:sz="0" w:space="0" w:color="auto"/>
          </w:divBdr>
        </w:div>
        <w:div w:id="1750229663">
          <w:marLeft w:val="0"/>
          <w:marRight w:val="0"/>
          <w:marTop w:val="0"/>
          <w:marBottom w:val="0"/>
          <w:divBdr>
            <w:top w:val="none" w:sz="0" w:space="0" w:color="auto"/>
            <w:left w:val="none" w:sz="0" w:space="0" w:color="auto"/>
            <w:bottom w:val="none" w:sz="0" w:space="0" w:color="auto"/>
            <w:right w:val="none" w:sz="0" w:space="0" w:color="auto"/>
          </w:divBdr>
        </w:div>
        <w:div w:id="259993946">
          <w:marLeft w:val="0"/>
          <w:marRight w:val="0"/>
          <w:marTop w:val="0"/>
          <w:marBottom w:val="0"/>
          <w:divBdr>
            <w:top w:val="none" w:sz="0" w:space="0" w:color="auto"/>
            <w:left w:val="none" w:sz="0" w:space="0" w:color="auto"/>
            <w:bottom w:val="none" w:sz="0" w:space="0" w:color="auto"/>
            <w:right w:val="none" w:sz="0" w:space="0" w:color="auto"/>
          </w:divBdr>
        </w:div>
        <w:div w:id="233006692">
          <w:marLeft w:val="0"/>
          <w:marRight w:val="0"/>
          <w:marTop w:val="0"/>
          <w:marBottom w:val="0"/>
          <w:divBdr>
            <w:top w:val="none" w:sz="0" w:space="0" w:color="auto"/>
            <w:left w:val="none" w:sz="0" w:space="0" w:color="auto"/>
            <w:bottom w:val="none" w:sz="0" w:space="0" w:color="auto"/>
            <w:right w:val="none" w:sz="0" w:space="0" w:color="auto"/>
          </w:divBdr>
        </w:div>
      </w:divsChild>
    </w:div>
    <w:div w:id="1603800136">
      <w:bodyDiv w:val="1"/>
      <w:marLeft w:val="0"/>
      <w:marRight w:val="0"/>
      <w:marTop w:val="0"/>
      <w:marBottom w:val="0"/>
      <w:divBdr>
        <w:top w:val="none" w:sz="0" w:space="0" w:color="auto"/>
        <w:left w:val="none" w:sz="0" w:space="0" w:color="auto"/>
        <w:bottom w:val="none" w:sz="0" w:space="0" w:color="auto"/>
        <w:right w:val="none" w:sz="0" w:space="0" w:color="auto"/>
      </w:divBdr>
      <w:divsChild>
        <w:div w:id="449205993">
          <w:marLeft w:val="0"/>
          <w:marRight w:val="0"/>
          <w:marTop w:val="0"/>
          <w:marBottom w:val="0"/>
          <w:divBdr>
            <w:top w:val="none" w:sz="0" w:space="0" w:color="auto"/>
            <w:left w:val="none" w:sz="0" w:space="0" w:color="auto"/>
            <w:bottom w:val="none" w:sz="0" w:space="0" w:color="auto"/>
            <w:right w:val="none" w:sz="0" w:space="0" w:color="auto"/>
          </w:divBdr>
        </w:div>
        <w:div w:id="316690949">
          <w:marLeft w:val="0"/>
          <w:marRight w:val="0"/>
          <w:marTop w:val="0"/>
          <w:marBottom w:val="0"/>
          <w:divBdr>
            <w:top w:val="none" w:sz="0" w:space="0" w:color="auto"/>
            <w:left w:val="none" w:sz="0" w:space="0" w:color="auto"/>
            <w:bottom w:val="none" w:sz="0" w:space="0" w:color="auto"/>
            <w:right w:val="none" w:sz="0" w:space="0" w:color="auto"/>
          </w:divBdr>
        </w:div>
        <w:div w:id="2136874198">
          <w:marLeft w:val="0"/>
          <w:marRight w:val="0"/>
          <w:marTop w:val="0"/>
          <w:marBottom w:val="0"/>
          <w:divBdr>
            <w:top w:val="none" w:sz="0" w:space="0" w:color="auto"/>
            <w:left w:val="none" w:sz="0" w:space="0" w:color="auto"/>
            <w:bottom w:val="none" w:sz="0" w:space="0" w:color="auto"/>
            <w:right w:val="none" w:sz="0" w:space="0" w:color="auto"/>
          </w:divBdr>
        </w:div>
        <w:div w:id="433667989">
          <w:marLeft w:val="0"/>
          <w:marRight w:val="0"/>
          <w:marTop w:val="0"/>
          <w:marBottom w:val="0"/>
          <w:divBdr>
            <w:top w:val="none" w:sz="0" w:space="0" w:color="auto"/>
            <w:left w:val="none" w:sz="0" w:space="0" w:color="auto"/>
            <w:bottom w:val="none" w:sz="0" w:space="0" w:color="auto"/>
            <w:right w:val="none" w:sz="0" w:space="0" w:color="auto"/>
          </w:divBdr>
        </w:div>
        <w:div w:id="1264418787">
          <w:marLeft w:val="0"/>
          <w:marRight w:val="0"/>
          <w:marTop w:val="0"/>
          <w:marBottom w:val="0"/>
          <w:divBdr>
            <w:top w:val="none" w:sz="0" w:space="0" w:color="auto"/>
            <w:left w:val="none" w:sz="0" w:space="0" w:color="auto"/>
            <w:bottom w:val="none" w:sz="0" w:space="0" w:color="auto"/>
            <w:right w:val="none" w:sz="0" w:space="0" w:color="auto"/>
          </w:divBdr>
        </w:div>
        <w:div w:id="1471362800">
          <w:marLeft w:val="0"/>
          <w:marRight w:val="0"/>
          <w:marTop w:val="0"/>
          <w:marBottom w:val="0"/>
          <w:divBdr>
            <w:top w:val="none" w:sz="0" w:space="0" w:color="auto"/>
            <w:left w:val="none" w:sz="0" w:space="0" w:color="auto"/>
            <w:bottom w:val="none" w:sz="0" w:space="0" w:color="auto"/>
            <w:right w:val="none" w:sz="0" w:space="0" w:color="auto"/>
          </w:divBdr>
        </w:div>
        <w:div w:id="541791449">
          <w:marLeft w:val="0"/>
          <w:marRight w:val="0"/>
          <w:marTop w:val="0"/>
          <w:marBottom w:val="0"/>
          <w:divBdr>
            <w:top w:val="none" w:sz="0" w:space="0" w:color="auto"/>
            <w:left w:val="none" w:sz="0" w:space="0" w:color="auto"/>
            <w:bottom w:val="none" w:sz="0" w:space="0" w:color="auto"/>
            <w:right w:val="none" w:sz="0" w:space="0" w:color="auto"/>
          </w:divBdr>
        </w:div>
        <w:div w:id="1566256620">
          <w:marLeft w:val="0"/>
          <w:marRight w:val="0"/>
          <w:marTop w:val="0"/>
          <w:marBottom w:val="0"/>
          <w:divBdr>
            <w:top w:val="none" w:sz="0" w:space="0" w:color="auto"/>
            <w:left w:val="none" w:sz="0" w:space="0" w:color="auto"/>
            <w:bottom w:val="none" w:sz="0" w:space="0" w:color="auto"/>
            <w:right w:val="none" w:sz="0" w:space="0" w:color="auto"/>
          </w:divBdr>
        </w:div>
        <w:div w:id="120652129">
          <w:marLeft w:val="0"/>
          <w:marRight w:val="0"/>
          <w:marTop w:val="0"/>
          <w:marBottom w:val="0"/>
          <w:divBdr>
            <w:top w:val="none" w:sz="0" w:space="0" w:color="auto"/>
            <w:left w:val="none" w:sz="0" w:space="0" w:color="auto"/>
            <w:bottom w:val="none" w:sz="0" w:space="0" w:color="auto"/>
            <w:right w:val="none" w:sz="0" w:space="0" w:color="auto"/>
          </w:divBdr>
        </w:div>
        <w:div w:id="971519022">
          <w:marLeft w:val="0"/>
          <w:marRight w:val="0"/>
          <w:marTop w:val="0"/>
          <w:marBottom w:val="0"/>
          <w:divBdr>
            <w:top w:val="none" w:sz="0" w:space="0" w:color="auto"/>
            <w:left w:val="none" w:sz="0" w:space="0" w:color="auto"/>
            <w:bottom w:val="none" w:sz="0" w:space="0" w:color="auto"/>
            <w:right w:val="none" w:sz="0" w:space="0" w:color="auto"/>
          </w:divBdr>
        </w:div>
        <w:div w:id="524710726">
          <w:marLeft w:val="0"/>
          <w:marRight w:val="0"/>
          <w:marTop w:val="0"/>
          <w:marBottom w:val="0"/>
          <w:divBdr>
            <w:top w:val="none" w:sz="0" w:space="0" w:color="auto"/>
            <w:left w:val="none" w:sz="0" w:space="0" w:color="auto"/>
            <w:bottom w:val="none" w:sz="0" w:space="0" w:color="auto"/>
            <w:right w:val="none" w:sz="0" w:space="0" w:color="auto"/>
          </w:divBdr>
        </w:div>
        <w:div w:id="767888859">
          <w:marLeft w:val="0"/>
          <w:marRight w:val="0"/>
          <w:marTop w:val="0"/>
          <w:marBottom w:val="0"/>
          <w:divBdr>
            <w:top w:val="none" w:sz="0" w:space="0" w:color="auto"/>
            <w:left w:val="none" w:sz="0" w:space="0" w:color="auto"/>
            <w:bottom w:val="none" w:sz="0" w:space="0" w:color="auto"/>
            <w:right w:val="none" w:sz="0" w:space="0" w:color="auto"/>
          </w:divBdr>
        </w:div>
      </w:divsChild>
    </w:div>
    <w:div w:id="1662074851">
      <w:bodyDiv w:val="1"/>
      <w:marLeft w:val="0"/>
      <w:marRight w:val="0"/>
      <w:marTop w:val="0"/>
      <w:marBottom w:val="0"/>
      <w:divBdr>
        <w:top w:val="none" w:sz="0" w:space="0" w:color="auto"/>
        <w:left w:val="none" w:sz="0" w:space="0" w:color="auto"/>
        <w:bottom w:val="none" w:sz="0" w:space="0" w:color="auto"/>
        <w:right w:val="none" w:sz="0" w:space="0" w:color="auto"/>
      </w:divBdr>
      <w:divsChild>
        <w:div w:id="1234850624">
          <w:marLeft w:val="0"/>
          <w:marRight w:val="0"/>
          <w:marTop w:val="0"/>
          <w:marBottom w:val="0"/>
          <w:divBdr>
            <w:top w:val="none" w:sz="0" w:space="0" w:color="auto"/>
            <w:left w:val="none" w:sz="0" w:space="0" w:color="auto"/>
            <w:bottom w:val="none" w:sz="0" w:space="0" w:color="auto"/>
            <w:right w:val="none" w:sz="0" w:space="0" w:color="auto"/>
          </w:divBdr>
        </w:div>
        <w:div w:id="118768256">
          <w:marLeft w:val="0"/>
          <w:marRight w:val="0"/>
          <w:marTop w:val="0"/>
          <w:marBottom w:val="0"/>
          <w:divBdr>
            <w:top w:val="none" w:sz="0" w:space="0" w:color="auto"/>
            <w:left w:val="none" w:sz="0" w:space="0" w:color="auto"/>
            <w:bottom w:val="none" w:sz="0" w:space="0" w:color="auto"/>
            <w:right w:val="none" w:sz="0" w:space="0" w:color="auto"/>
          </w:divBdr>
        </w:div>
        <w:div w:id="204220844">
          <w:marLeft w:val="0"/>
          <w:marRight w:val="0"/>
          <w:marTop w:val="0"/>
          <w:marBottom w:val="0"/>
          <w:divBdr>
            <w:top w:val="none" w:sz="0" w:space="0" w:color="auto"/>
            <w:left w:val="none" w:sz="0" w:space="0" w:color="auto"/>
            <w:bottom w:val="none" w:sz="0" w:space="0" w:color="auto"/>
            <w:right w:val="none" w:sz="0" w:space="0" w:color="auto"/>
          </w:divBdr>
        </w:div>
        <w:div w:id="63976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30</Pages>
  <Words>12595</Words>
  <Characters>71793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Сороцкая Сильвия Сумбатовна</dc:creator>
  <cp:keywords/>
  <dc:description/>
  <cp:lastModifiedBy>Сороцкая Сильвия Сумбатовна</cp:lastModifiedBy>
  <cp:revision>1</cp:revision>
  <dcterms:created xsi:type="dcterms:W3CDTF">2024-06-19T13:00:00Z</dcterms:created>
  <dcterms:modified xsi:type="dcterms:W3CDTF">2024-06-19T13:42:00Z</dcterms:modified>
</cp:coreProperties>
</file>