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6" w:rsidRPr="00B76566" w:rsidRDefault="00B76566" w:rsidP="00B7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6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 разъясняет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Государство снизи</w:t>
      </w:r>
      <w:r>
        <w:rPr>
          <w:rFonts w:ascii="Times New Roman" w:hAnsi="Times New Roman" w:cs="Times New Roman"/>
          <w:sz w:val="28"/>
          <w:szCs w:val="28"/>
        </w:rPr>
        <w:t>ло</w:t>
      </w:r>
      <w:bookmarkStart w:id="0" w:name="_GoBack"/>
      <w:bookmarkEnd w:id="0"/>
      <w:r w:rsidRPr="00933768">
        <w:rPr>
          <w:rFonts w:ascii="Times New Roman" w:hAnsi="Times New Roman" w:cs="Times New Roman"/>
          <w:sz w:val="28"/>
          <w:szCs w:val="28"/>
        </w:rPr>
        <w:t xml:space="preserve"> административную нагрузку на бизнес.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Соответствующие поправки в Кодекс Российской Федерации об административных правонарушениях, внесенные Федеральным законом от 26 марта 2022 года № 70-ФЗ, вступили в силу 6 апреля 2022 года.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В частности, появилось ограничение по одновременному привлечению к административной ответственности за одно и то же правонарушение юридического лица и его должностного лица или иного работника.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Кроме того, появился запрет на суммирование административных штрафов при назначении наказания за несколько объединенных одним составом административных правонарушений, выявленных в ходе одного контрольного или надзорного мероприятия.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Часть поправок касается некоммерческих организаций и субъектов малого и среднего предпринимательства – за впервые совершенное ими административное правонарушение будут применять только предупреждение, но при условии отсутствия имущественного ущерба или причинения нематериального вреда.</w:t>
      </w:r>
    </w:p>
    <w:p w:rsidR="00933768" w:rsidRPr="00933768" w:rsidRDefault="00933768" w:rsidP="00933768">
      <w:pPr>
        <w:rPr>
          <w:rFonts w:ascii="Times New Roman" w:hAnsi="Times New Roman" w:cs="Times New Roman"/>
          <w:sz w:val="28"/>
          <w:szCs w:val="28"/>
        </w:rPr>
      </w:pPr>
      <w:r w:rsidRPr="00933768">
        <w:rPr>
          <w:rFonts w:ascii="Times New Roman" w:hAnsi="Times New Roman" w:cs="Times New Roman"/>
          <w:sz w:val="28"/>
          <w:szCs w:val="28"/>
        </w:rPr>
        <w:t>Также на социально ориентированные НКО, микр</w:t>
      </w:r>
      <w:proofErr w:type="gramStart"/>
      <w:r w:rsidRPr="009337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3768">
        <w:rPr>
          <w:rFonts w:ascii="Times New Roman" w:hAnsi="Times New Roman" w:cs="Times New Roman"/>
          <w:sz w:val="28"/>
          <w:szCs w:val="28"/>
        </w:rPr>
        <w:t xml:space="preserve"> и малые предприятия решено распространить правила о назначении штрафов для ИП.</w:t>
      </w:r>
    </w:p>
    <w:p w:rsidR="008863D7" w:rsidRDefault="00933768" w:rsidP="00933768">
      <w:r w:rsidRPr="00933768">
        <w:rPr>
          <w:rFonts w:ascii="Times New Roman" w:hAnsi="Times New Roman" w:cs="Times New Roman"/>
          <w:sz w:val="28"/>
          <w:szCs w:val="28"/>
        </w:rPr>
        <w:t>Если отдельные штрафы для ИП не предусмотрены, то наказание назначат в размере от 1/2 минимального до 1/2 максимального размера штрафа, определенного для юридического лица, либо как 1/2 суммы штрафа в фиксированном размере.</w:t>
      </w:r>
    </w:p>
    <w:sectPr w:rsidR="0088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8863D7"/>
    <w:rsid w:val="00933768"/>
    <w:rsid w:val="00B76566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2022-04-21T08:23:00Z</dcterms:created>
  <dcterms:modified xsi:type="dcterms:W3CDTF">2022-04-21T08:27:00Z</dcterms:modified>
</cp:coreProperties>
</file>