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95" w:rsidRDefault="00A96C04">
      <w:pPr>
        <w:spacing w:after="0" w:line="235" w:lineRule="auto"/>
        <w:jc w:val="center"/>
        <w:rPr>
          <w:rFonts w:ascii="PT Astra Serif" w:hAnsi="PT Astra Serif"/>
          <w:sz w:val="24"/>
          <w:szCs w:val="24"/>
        </w:rPr>
      </w:pPr>
      <w:r>
        <w:rPr>
          <w:rFonts w:ascii="PT Astra Serif" w:hAnsi="PT Astra Serif"/>
          <w:sz w:val="24"/>
          <w:szCs w:val="24"/>
        </w:rPr>
        <w:t>ОБЗОР</w:t>
      </w:r>
    </w:p>
    <w:p w:rsidR="00005A95" w:rsidRDefault="00A96C04">
      <w:pPr>
        <w:spacing w:after="0" w:line="235" w:lineRule="auto"/>
        <w:jc w:val="center"/>
        <w:rPr>
          <w:rFonts w:ascii="PT Astra Serif" w:hAnsi="PT Astra Serif"/>
          <w:sz w:val="24"/>
          <w:szCs w:val="24"/>
        </w:rPr>
      </w:pPr>
      <w:r>
        <w:rPr>
          <w:rFonts w:ascii="PT Astra Serif" w:hAnsi="PT Astra Serif"/>
          <w:sz w:val="24"/>
          <w:szCs w:val="24"/>
        </w:rPr>
        <w:t>законодательства и правоприменительной практики</w:t>
      </w:r>
    </w:p>
    <w:p w:rsidR="00005A95" w:rsidRDefault="00A96C04">
      <w:pPr>
        <w:spacing w:after="0" w:line="235" w:lineRule="auto"/>
        <w:jc w:val="center"/>
      </w:pPr>
      <w:r>
        <w:rPr>
          <w:rFonts w:ascii="PT Astra Serif" w:hAnsi="PT Astra Serif"/>
          <w:sz w:val="24"/>
          <w:szCs w:val="24"/>
        </w:rPr>
        <w:t>за май 2025  года</w:t>
      </w:r>
    </w:p>
    <w:tbl>
      <w:tblPr>
        <w:tblStyle w:val="af"/>
        <w:tblpPr w:leftFromText="180" w:rightFromText="180" w:vertAnchor="text" w:horzAnchor="margin" w:tblpXSpec="center" w:tblpY="168"/>
        <w:tblW w:w="13575" w:type="dxa"/>
        <w:tblLook w:val="04A0"/>
      </w:tblPr>
      <w:tblGrid>
        <w:gridCol w:w="696"/>
        <w:gridCol w:w="3524"/>
        <w:gridCol w:w="9355"/>
      </w:tblGrid>
      <w:tr w:rsidR="005457AC" w:rsidTr="005457AC">
        <w:tc>
          <w:tcPr>
            <w:tcW w:w="696"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п/п</w:t>
            </w:r>
          </w:p>
        </w:tc>
        <w:tc>
          <w:tcPr>
            <w:tcW w:w="3524" w:type="dxa"/>
          </w:tcPr>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sz w:val="24"/>
                <w:szCs w:val="24"/>
                <w:lang w:eastAsia="en-US"/>
              </w:rPr>
              <w:t>Наименование, реквизиты и дата вступления в силу нормативного правового акта,акта правоприменения</w:t>
            </w:r>
          </w:p>
        </w:tc>
        <w:tc>
          <w:tcPr>
            <w:tcW w:w="9355" w:type="dxa"/>
          </w:tcPr>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sz w:val="24"/>
                <w:szCs w:val="24"/>
                <w:lang w:eastAsia="en-US"/>
              </w:rPr>
              <w:t>Основное содержание нормативного правового</w:t>
            </w:r>
          </w:p>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sz w:val="24"/>
                <w:szCs w:val="24"/>
                <w:lang w:eastAsia="en-US"/>
              </w:rPr>
              <w:t>акта, акта правоприменения</w:t>
            </w:r>
          </w:p>
        </w:tc>
      </w:tr>
      <w:tr w:rsidR="005457AC" w:rsidTr="005457AC">
        <w:tc>
          <w:tcPr>
            <w:tcW w:w="13575" w:type="dxa"/>
            <w:gridSpan w:val="3"/>
          </w:tcPr>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b/>
                <w:sz w:val="24"/>
                <w:szCs w:val="24"/>
                <w:lang w:eastAsia="en-US"/>
              </w:rPr>
              <w:t>Раздел 1. Федеральное законодательство, иные федеральные нормативные правовые акты</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Федеральный закон от 23.05.2025 № 104-ФЗ «О внесении изменений в статьи 4.5 и 13.12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Увеличены размеры административных штрафов за нарушение правил защиты информации.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Необходимые изменения внесены в статью 13.12 КоАП РФ. Предельные размеры штрафов для физлиц увеличиваются до 10 тысяч рублей, для должностных лиц - до 50 тысяч рублей, для юрлиц - до 100 тысяч рублей.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 в частности, административный штраф за использование несертифицированных средств, предназначенных для защиты информации, составляющей государственную тайну, составит: от 20 тысяч до 50 тысяч рублей для должностных лиц; от 50 тысяч до 100 тысяч для юрлиц.</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Федеральный закон от 23.05.2025 № 107-ФЗ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Подписан закон о новой схеме одномандатных избирательных округов для проведения выборов в Госдуму.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 территории России образовано 225 одномандатных избирательных округов.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Федеральным законом утверждена схема таких округов, в которой указываются: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наименование каждого округа и его номер;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перечень входящих в него муниципальных образований и населенных пунктов;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число избирателей, зарегистрированных в каждом округе.</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Федеральный закон от 23.05.2025 № 115-ФЗ «О внесении изменений в отдельные законодательные </w:t>
            </w:r>
            <w:r>
              <w:rPr>
                <w:rFonts w:ascii="PT Astra Serif" w:eastAsiaTheme="minorHAnsi" w:hAnsi="PT Astra Serif" w:cs="PT Astra Serif"/>
                <w:bCs/>
                <w:iCs/>
                <w:sz w:val="24"/>
                <w:szCs w:val="24"/>
                <w:lang w:eastAsia="en-US"/>
              </w:rPr>
              <w:lastRenderedPageBreak/>
              <w:t>акты Российской Федерации»</w:t>
            </w: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rPr>
                <w:rFonts w:ascii="PT Astra Serif" w:eastAsiaTheme="minorHAnsi" w:hAnsi="PT Astra Serif"/>
                <w:sz w:val="24"/>
                <w:szCs w:val="24"/>
                <w:lang w:eastAsia="en-US"/>
              </w:rPr>
            </w:pP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Уточняются положения избирательного законодательства об электронном голосовании.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Так, уточняются понятия «электронное голосование» и «комплекс для электронного голосования». Предусматривается, что электронное голосование может проводиться при проведении выборов, референдума. Устанавливается, что даже при проведении </w:t>
            </w:r>
            <w:r>
              <w:rPr>
                <w:rFonts w:ascii="PT Astra Serif" w:eastAsiaTheme="minorHAnsi" w:hAnsi="PT Astra Serif" w:cs="PT Astra Serif"/>
                <w:sz w:val="24"/>
                <w:szCs w:val="24"/>
                <w:lang w:eastAsia="en-US"/>
              </w:rPr>
              <w:lastRenderedPageBreak/>
              <w:t>электронного голосования должна быть обеспечена возможность голосования с использованием бумажных бюллетеней.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Решение о проведении электронного голосования на территории субъекта РФ будет принимать ЦИК России или соответствующая избирательная комиссия региона.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Подписанным законом предусмотрены и иные новшества, в частности: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представителям уполномоченных органов и избирательных комиссий предоставлена возможность проводить фотосъемку и видеозапись при посещении проводимых политической партией открытых мероприятий и мероприятий, связанных с выдвижением кандидатов на выборные должности;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ограничивается возможность проведения дополнительных выборов депутатов соответствующего законодательного (представительного) органа государственной власти, представительного органа муниципального образования в год, предшествующий году проведения основных выборов, а также в год проведения указанных выборов;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закрепляется возможность дистанционного открытия, ведения и закрытия специальных избирательных счетов;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запрещаются пожертвования политической партии и ее региональным отделениям от российских юридических лиц, учрежденных иностранными агентами, лиц, сведения о которых включены в единый реестр сведений о лицах, причастных к деятельности экстремистской или террористической организации.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Указ Президента РФ от 17.05.2025 № 329 «О внесении изменений в перечень сведений, отнесенных к государственной тайне, утвержденный Указом Президента Российской Федерации от 30 ноября 1995 г. № 1203»</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Внесены уточнения в перечень сведений, отнесенных к гостайне.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перечень включены сведения о численности забронированных граждан РФ, пребывающих в запасе Вооруженных Сил РФ, федеральных органов исполнительной власти, имеющих запас, и работающих в государственных органах, органах местного самоуправления или организациях.</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Кроме того, в частности, отдельные позиции перечня изложены в новой редакции.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Указ вступает в силу с 1 марта 2026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Указ Президента РФ от 19.05.2025 № 335 «О государственном мониторинге вреда, причиненного Российской Федерации, </w:t>
            </w:r>
            <w:r>
              <w:rPr>
                <w:rFonts w:ascii="PT Astra Serif" w:eastAsiaTheme="minorHAnsi" w:hAnsi="PT Astra Serif" w:cs="PT Astra Serif"/>
                <w:bCs/>
                <w:iCs/>
                <w:sz w:val="24"/>
                <w:szCs w:val="24"/>
                <w:lang w:eastAsia="en-US"/>
              </w:rPr>
              <w:lastRenderedPageBreak/>
              <w:t>субъектам Российской Федерации, федеральной территории «Сириус», муниципальным образованиям, физическим лицам и организациям иностранными источниками»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Подписан указ о государственном мониторинге вреда, причиненного Российской Федерации, субъектам Российской Федерации, федеральной территории «Сириус», муниципальным образованиям, физическим лицам и организациям иностранными источниками.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Установлено, что органы прокуратуры Российской Федерации при исполнении </w:t>
            </w:r>
            <w:r>
              <w:rPr>
                <w:rFonts w:ascii="PT Astra Serif" w:eastAsiaTheme="minorHAnsi" w:hAnsi="PT Astra Serif" w:cs="PT Astra Serif"/>
                <w:sz w:val="24"/>
                <w:szCs w:val="24"/>
                <w:lang w:eastAsia="en-US"/>
              </w:rPr>
              <w:lastRenderedPageBreak/>
              <w:t>возложенных на них полномочий организуют и осуществляют сбор, проверку, учет и систематизацию сведений о вреде, причиненном Российской Федерации, субъектам Российской Федерации, федеральной территории "Сириус", муниципальным образованиям, жизни и здоровью физических лиц и их имуществу, имуществу организаций (за исключением вреда, причиненного в связи с введением ограничительных мер в финансовой сфере в отношении РФ и российских организаций) иностранными источниками - государствами и территориями, определяемыми Правительством в соответствии с пунктом 14 Указа Президента от 5 марта 2022 г. № 95.</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РФ от 30.04.2025 № 587 «О внесении изменений в Постановление Правительства Российской Федерации от 15 апреля 2014 г. № 316»</w:t>
            </w: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highlight w:val="yellow"/>
                <w:lang w:eastAsia="en-US"/>
              </w:rPr>
            </w:pPr>
          </w:p>
          <w:p w:rsidR="005457AC" w:rsidRDefault="005457AC" w:rsidP="005457AC">
            <w:pPr>
              <w:spacing w:after="0" w:line="240" w:lineRule="auto"/>
              <w:jc w:val="both"/>
              <w:rPr>
                <w:rFonts w:ascii="PT Astra Serif" w:eastAsiaTheme="minorHAnsi" w:hAnsi="PT Astra Serif"/>
                <w:sz w:val="24"/>
                <w:szCs w:val="24"/>
                <w:highlight w:val="yellow"/>
                <w:lang w:eastAsia="en-US"/>
              </w:rPr>
            </w:pPr>
          </w:p>
          <w:p w:rsidR="005457AC" w:rsidRDefault="005457AC" w:rsidP="005457AC">
            <w:pPr>
              <w:spacing w:after="0" w:line="240" w:lineRule="auto"/>
              <w:jc w:val="both"/>
              <w:rPr>
                <w:rFonts w:ascii="PT Astra Serif" w:eastAsiaTheme="minorHAnsi" w:hAnsi="PT Astra Serif"/>
                <w:sz w:val="24"/>
                <w:szCs w:val="24"/>
                <w:highlight w:val="yellow"/>
                <w:lang w:eastAsia="en-US"/>
              </w:rPr>
            </w:pPr>
          </w:p>
          <w:p w:rsidR="005457AC" w:rsidRDefault="005457AC" w:rsidP="005457AC">
            <w:pPr>
              <w:spacing w:after="0" w:line="240" w:lineRule="auto"/>
              <w:rPr>
                <w:rFonts w:ascii="PT Astra Serif" w:eastAsiaTheme="minorHAnsi" w:hAnsi="PT Astra Serif"/>
                <w:sz w:val="24"/>
                <w:szCs w:val="24"/>
                <w:highlight w:val="yellow"/>
                <w:lang w:eastAsia="en-US"/>
              </w:rPr>
            </w:pP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Внесены уточнения в порядок предоставления субсидий на господдержку малого и среднего предпринимательства в субъектах РФ в рамках госпрограммы «Экономическое развитие и инновационная экономика»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Постановлением для целей предоставления субсидий скорректированы некоторые используемые понятия, такие как, например, «бизнес-парк», «резидент (потенциальный резидент)», «технопарк».</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Введены положения, устанавливающие требования к документальному подтверждению обеспеченности территории индустриального (промышленного) парка, агропромышленного парка, бизнес-парка, технопарка или промышленного технопарка доступностью к транспортной инфраструктуре.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Также внесены уточнения в перечень документов, необходимых для получения субсидии, предоставляемой в целях софинансирования расходных обязательств субъекта РФ, возникающих при реализации мероприятия, указанного в подпункте «а» пункта 3 правил.</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 новой редакции изложена форма заявки на получение субсидии.</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30.04.2025 № 595 «Об установлении в 2025 году ставки платы за негативное воздействие на окружающую среду при размещении твердых коммунальных отходов IV класса опасности (малоопасные)»</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2025 году ставка платы за негативное воздействие на окружающую среду при размещении ТКО IV класса опасности (малоопасные) установлена в размере 99 рублей 30 копеек за 1 тонну.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Настоящее постановление применяется к правоотношениям, возникшим с 1 января 2025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Постановление Правительства </w:t>
            </w:r>
            <w:r>
              <w:rPr>
                <w:rFonts w:ascii="PT Astra Serif" w:eastAsiaTheme="minorHAnsi" w:hAnsi="PT Astra Serif" w:cs="PT Astra Serif"/>
                <w:bCs/>
                <w:iCs/>
                <w:sz w:val="24"/>
                <w:szCs w:val="24"/>
                <w:lang w:eastAsia="en-US"/>
              </w:rPr>
              <w:lastRenderedPageBreak/>
              <w:t>РФ от 08.05.2025 № 602 «О внесении изменений в постановление Правительства Российской Федерации от 11 февраля 2017 г. № 176»</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Дополнены требования к антитеррористической защищенности объектов (территорий) в </w:t>
            </w:r>
            <w:r>
              <w:rPr>
                <w:rFonts w:ascii="PT Astra Serif" w:eastAsiaTheme="minorHAnsi" w:hAnsi="PT Astra Serif" w:cs="PT Astra Serif"/>
                <w:sz w:val="24"/>
                <w:szCs w:val="24"/>
                <w:lang w:eastAsia="en-US"/>
              </w:rPr>
              <w:lastRenderedPageBreak/>
              <w:t>сфере культуры.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Установлено, что минимизация возможных последствий и ликвидация угрозы террористических актов на указанных объектах (территориях) достигается в том числе посредством разработки алгоритмов действий работников и иных лиц, находящихся на объекте (территории), при получении информации об угрозе совершения или о совершении террористического акта на объекте (территории), в том числе алгоритма действий по их безопасной и своевременной эвакуации.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Должностное лицо, осуществляющее непосредственное руководство деятельностью работников объекта (территории), или лицо, его замещающее, обязано принять меры, направленные на выполнение работниками и иными лицами, находящимися на объекте (территории), действий в соответствии с указанными алгоритмами.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08.05.2025 № 604 «Об утверждении Правил охраны подземных водных объектов»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 1 сентября 2025 г. обновляются правила охраны подземных водных объектов.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Охрана подземных водных объектов осуществляется путем проведения мероприятий по предупреждению загрязнения, засорения подземных водных объектов, истощения их запасов, а также ликвидации последствий указанных процессов.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Признается утратившим силу аналогичное Постановление Правительства РФ от 11 февраля 2016 г. № 94.</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Настоящие правила действуют до 1 сентября 2031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13.05.2025 № 638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2025 году»</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Скорректированы размеры авансовых платежей, которые могут предусматриваться при заключении госконтрактов.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До 31 декабря 2025 года приостановлено действие абзаца 4 подпункта «а» и подпункте «б» пункта 18 положения, утвержденного Постановлением Правительства РФ от 09.12.2017 № 1496 (в части права предусматривать авансовые платежи, подлежащие казначейскому сопровождению, в размере, не превышающем 30% суммы договора (госконтракта)).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 этом установлено, в частности, что в 2025 году получатели средств федерального бюджета вправе предусматривать в заключаемых ими договорах (госконтрактах), подлежащих казначейскому сопровождению, авансовые платежи в размере, не превышающем 50% суммы соответствующего договора (госконтракта), но не более доведенных лимитов бюджетных обязательств.</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Постановление Правительства РФ от 15.05.2025 № 659 «О </w:t>
            </w:r>
            <w:r>
              <w:rPr>
                <w:rFonts w:ascii="PT Astra Serif" w:eastAsiaTheme="minorHAnsi" w:hAnsi="PT Astra Serif" w:cs="PT Astra Serif"/>
                <w:bCs/>
                <w:iCs/>
                <w:sz w:val="24"/>
                <w:szCs w:val="24"/>
                <w:lang w:eastAsia="en-US"/>
              </w:rPr>
              <w:lastRenderedPageBreak/>
              <w:t>внесении изменений в постановление Правительства Российской Федерации от 27 апреля 2024 г. № 552»</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Расширены критерии участия в добровольческой (волонтерской) деятельности для поощрения нагрудным знаком «Доброволец России».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Согласно внесенным изменениям к награждению знаком «Доброволец России» могут быть представлены лица, внесшие значительный вклад в добровольческую (волонтерскую) деятельность, а также соответствующие одному из установленных требований, в числе которых теперь также предусмотрено:</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участие в течение 6 лет в добровольческой (волонтерской) деятельности не менее 100 часов и в добровольческой (волонтерской) деятельности в целях развития безвозмездного донорства крови и (или) ее компонентов (в установленных видах);</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участие в добровольческой (волонтерской) деятельности в целях развития безвозмездного донорства костного мозга и (или) гемопоэтических стволовых клеток.</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15.05.2025 № 662 «О внесении изменений в постановление Правительства Российской Федерации от 17 августа 2019 г. № 1067»</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Уточнены правила функционирования единой информационной системы в сфере развития добровольчества (волонтерства).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Установлено, что полномочия по формированию и ведению указанной системы осуществляет ассоциация волонтерских центров, некоммерческих организаций и институтов общественного развития "Добро.рф".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определено, что система осуществляет информационное взаимодействие, в том числе с государственной информационной системой профилактики безнадзорности и правонарушений несовершеннолетних.</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16.05.2025 № 667 «О внесении изменений в некоторые акты Правительства Российской Федерации»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Актуализирован порядок предоставления в аренду неиспользуемых объектов культурного наследия, находящихся в неудовлетворительном состоянии и относящихся к федеральной собственности.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Реализован Федеральный закон от 30.11.2024 № 444-ФЗ «О внесении изменений в отдельные законодательные акты Российской Федерации».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Признано утратившим силу постановление Правительства РФ от 29.06.2015 №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23.05.2025 № 718 «О внесении изменений в некоторые акты Правительства Российской Федерации»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Акты Правительства РФ в сфере государственного контроля (надзора), муниципального контроля приведены в соответствие с законодательством.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целях реализации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внесены поправки, в том числе в следующие постановления Правительства 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от 03.08.2021 № 1299 «Об утверждении Правил возмещения контролируемому лицу стоимости утраченной продукции (утраченных товаров) в ходе выездной проверки».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29.05.2025 № 766 «Об утверждении Правил принятия решений о нераспространении действия положений пункта 15 статьи 241 Бюджетного кодекса Российской Федерации на субсидии и бюджетные инвестиции, предоставляемые российским юридическим лицам»</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Определен порядок принятия решений о нераспространении ограничений, предусмотренных пунктом 15 статьи 241 БК РФ, на предоставление субсидий и бюджетных инвестиций.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Речь идет о субсидиях, предусмотренных статьями 78, 78.1, 78.3 и 78.4 БК РФ, и бюджетных инвестициях, предусмотренных статьей 80 БК РФ, предоставляемых российским юрлицам, в уставном (складочном) капитале которых доля участия иностранных юридических лиц, местом регистрации которых является офшорные государство или территория, в совокупности превышает 25%.</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Российское юрлицо вправе направить заявление о принятии соответствующего решения и необходимые документы в органы государственной власти, органы местного самоуправления или организации, осуществляющие функции главного распорядителя бюджетных средств.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Решения о нераспространении ограничений принимаются совместно Минфином России и Минэкономразвития России.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Постановление Правительства РФ от 29.05.2025 № 752 «Об утверждении Правил подготовки проектной документации объекта капитального строительства в целях неоднократного применения при архитектурно-строительном проектировании объектов капитального </w:t>
            </w:r>
            <w:r>
              <w:rPr>
                <w:rFonts w:ascii="PT Astra Serif" w:eastAsiaTheme="minorHAnsi" w:hAnsi="PT Astra Serif" w:cs="PT Astra Serif"/>
                <w:bCs/>
                <w:iCs/>
                <w:sz w:val="24"/>
                <w:szCs w:val="24"/>
                <w:lang w:eastAsia="en-US"/>
              </w:rPr>
              <w:lastRenderedPageBreak/>
              <w:t>строительства»</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Утверждены Правила подготовки проектной документации объекта капитального строительства в целях неоднократного применения при архитектурно-строительном проектировании объектов капитального строительства.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Правила устанавливают порядок подготовки проектной документации неоднократного применения, перечень документов, необходимых для ее подготовки, а также особенности ее состава и содержания.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необходимые изменения внесены в Правила принятия решений о признании проектной документации типовой проектной документацией и Правила использования типовой проектной документации, типового проектного решения, утвержденные Постановлением Правительства от 1 марта 2022 г. № 278.</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РФ от 31.05.2025 № 826 «Об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 1 сентября 2025 г. устанавливаются признаки неиспользования земельных участков из состава земель населенных пунктов, садовых земельных участков и огородных земельных участков.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перечне таких признаков: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Признаки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Настоящее постановление действует до 1 сентября 2031 г.</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РФ от 30.05.2025 № 802 «Об утверждении Правил проведения консервации объекта капитального строительства»</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Актуализирован порядок проведения консервации объекта капитального строительства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Также документом установлены особенности принятия решения о консервации объекта капитального строительства государственной (муниципальной) собственности, строительство, реконструкция которого осуществлялись полностью или частично за счет средств бюджетов бюджетной системы 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Решение о консервации объекта капитального строительства принимается при необходимости прекращения работ по строительству, реконструкции объекта капитального строительства или их приостановления более чем на 6 месяцев.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Настоящее постановление вступает в силу с 1 сентября 2025 года. Утвержденные им правила действуют до 1 сентября 2031 года.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Признается утратившим силу Постановление Правительства от 30 сентября 2011 г. № 802 «Об утверждении Правил проведения консервации объекта капитального строительства»</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color w:val="000000"/>
                <w:sz w:val="24"/>
                <w:szCs w:val="24"/>
                <w:lang w:eastAsia="en-US"/>
              </w:rPr>
              <w:t>Постановление Правительства РФ от 31.05.2025 № 827 «О внесении изменений в некоторые акты Правительства Российской Федерации»</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Уточнен порядок организации и проведения государственной экспертизы проектной документации и результатов инженерных изысканий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Внесены поправки в Положение об организации и проведении государственной экспертизы проектной документации и результатов инженерных изысканий, а также в Правила формирования единого государственного реестра заключений экспертизы проектной документации объектов капитального строительства.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В частности, регламентирован порядок действий в случае выявления в заключении государственной экспертизы технической ошибки (описки, опечатки, грамматической или иной ошибки, приведшей к несоответствию сведений, содержащихся в заключении государственной экспертизы, сведениям, содержащимся в проектной документации и (или) результатах инженерных изысканий, в отношении которых подготовлено такое заключение), исправление которой не оказывает влияния на результат проведенной государственной экспертизы. </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Распоряжение Правительства РФ от 30.04.2025 № 1102-р «Об утверждении списка нормативных словарей, справочников и грамматик, фиксирующих нормы современного русского </w:t>
            </w:r>
            <w:r>
              <w:rPr>
                <w:rFonts w:ascii="PT Astra Serif" w:eastAsiaTheme="minorHAnsi" w:hAnsi="PT Astra Serif" w:cs="PT Astra Serif"/>
                <w:bCs/>
                <w:iCs/>
                <w:sz w:val="24"/>
                <w:szCs w:val="24"/>
                <w:lang w:eastAsia="en-US"/>
              </w:rPr>
              <w:lastRenderedPageBreak/>
              <w:t>литературного языка при его использовании в качестве государственного языка Российской Федерации»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Правительством утвержден список нормативных словарей, справочников и грамматик, фиксирующих нормы современного русского литературного языка при его использовании в качестве государственного языка 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Минобрнауки необходимо обеспечить размещение включенных в список словарей в Национальном словарном фонде, а до его ввода в эксплуатацию - в открытом доступе в сети «Интернет» на официальном сайте Института русского языка им. В.В. Виноградова РАН.</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Распоряжение Правительства РФ от 21.05.2025 № 1264-р «Об утверждении Концепции развития наставничества в Российской Федерации на период до 2030 года и плана мероприятий по ее реализации»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Утверждена Концепция развития наставничества в РФ на период до 2030 года.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качестве задач Концепции представлены следующие: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определение единой терминологии в сфере наставничества в 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обобщение реализуемых в РФ наставнических практик;</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формирование единых подходов к реализации наставничества в РФ в соответствии с целями и задачами экономического и социального развития общества;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совершенствование механизмов деятельности федеральных органов исполнительной власти, исполнительных органов регионов, органов местного самоуправления, субъектов экономической деятельности, организаций, осуществляющих образовательную деятельность, и организаций социальной сферы, направленной на развитие наставничества в Российской Федерации.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Документом определены цель, задачи и формы наставничества, особенности наставничества в молодежном и детско-взрослом коллективе и наставничества в сфере труда, обозначены направления содействия развитию наставничества, а также целевые ориентиры и риски реализации настоящей Концепции.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Распоряжением утвержден план мероприятий по реализации Концепции.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Распоряжение Правительства РФ от 24.05.2025 № 1311-р «Об утверждении плана мероприятий по повышению уровня трудоустройства участников специальной военной операции и организации их профессиональной ориентации»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Утвержден план мероприятий по повышению уровня трудоустройства участников специальной военной операции и организации их профессиональной ориентации.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перечне таких мероприятий: содействие в оформлении (восстановлении) документов, необходимых для трудоустройства; создание в регионах базы работодателей и рабочих мест для трудоустройства участников СВО; проработка вопросов стимулирования работодателей, трудоустраивающих участников СВО; оказание бесплатной юридической помощи участникам СВО и членам их семей по вопросам трудового законодательства; информирование граждан, освобожденных из учреждений, исполняющих наказания в виде лишения свободы, выполнявших задачи в ходе СВО, о возможности применения к ним постпенитенциарной пробации; проработка вопроса информационной поддержки мероприятий, направленных на укрепление имиджа работодателей, трудоустраивающих инвалидов вследствие военной травмы и инвалидов из числа участников СВО.</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Перечень поручений по итогам встречи с главами муниципальных образований в рамках второго Всероссийского муниципального форума «Малая родина - сила России»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(утв. Президентом РФ 29.05.2025 № Пр-1223)</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Президент РФ поручил обеспечить предоставление гражданам, пострадавшим в результате чрезвычайных ситуаций федерального характера на территориях Белгородской и Курской областей, мер поддержки по каждому установленному факту нарушения условий их жизнедеятельности и утраты ими имущества первой необходимости.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в числе поручений: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предусмотреть для выборных должностных лиц местного самоуправления и муниципальных служащих, работающих в условиях военного положения или режима контртеррористической операции, меры социальной поддержки, аналогичные мерам, установленным для лиц, направленных (командированных) на территории новых регионов;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создать условия для поступления участников специальной военной операции на муниципальную службу, в том числе за счет корректировки квалификационных требований к стажу муниципальной службы или работы по специальности, направлению подготовки, а также к уровню образования;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рассмотреть вопрос об организации взаимодействия с участниками специальной военной операции при оказании им мер поддержки, в том числе в целях получения образования и трудоустройства, с использованием Единого портала госуслуг.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АНО НАРК от 18.04.2025 № 51/25-ПР «Об утверждении и исключении наименований квалификаций и требований к квалификациям в жилищно-коммунальном хозяйстве»</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АНО НАРК актуализированы наименования квалификаций и требования к квалификациям в жилищно-коммунальном хозяйстве.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Соответствующие сведения размещены на сайте https://№ ark.ru/.</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Настоящий приказ вступает в силу с даты его подписания и действует до 1 марта 2031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Росреестра от 24.12.2024 № П/0426/24 «О внесении изменений в классификатор видов разрешенного использования земельных участков, утвержденный Приказом Федеральной службы </w:t>
            </w:r>
            <w:r>
              <w:rPr>
                <w:rFonts w:ascii="PT Astra Serif" w:eastAsiaTheme="minorHAnsi" w:hAnsi="PT Astra Serif" w:cs="PT Astra Serif"/>
                <w:bCs/>
                <w:iCs/>
                <w:sz w:val="24"/>
                <w:szCs w:val="24"/>
                <w:lang w:eastAsia="en-US"/>
              </w:rPr>
              <w:lastRenderedPageBreak/>
              <w:t>государственной регистрации, кадастра и картографии от 10 ноября 2020 г. № П/0412»</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30.04.2025 № 82033.</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Актуализирован классификатор видов разрешенного использования земельных участков.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классификатор внесены изменения с целью приведения его положений в соответствие с видами использования лесов, предусмотренными статьей 25 Лесного кодекса РФ.</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Приказ Минтруда России от 21.03.2025 № 137н «Об утверждении профессионального стандарта «Руководитель профессиональной образовательной организации»</w:t>
            </w:r>
          </w:p>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Зарегистрировано в Минюсте России 25.04.2025 № 81970.</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С 1 сентября 2025 г. вводится профессиональный стандарт «Руководитель профессиональной образовательной организации»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Целью профессиональной деятельности данных специалистов является управление профессиональной организацией и ее структурными подразделениями при реализации образовательных программ.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Приводится описание трудовых функций, устанавливаются требования к образованию и обучению, к опыту практической работы, особые условия допуска к работе, другие характеристики.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Настоящий приказ действует до 1 сентября 2031 г.</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Приказ Минтруда России от 09.04.2025 № 194н</w:t>
            </w:r>
          </w:p>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«Об утверждении профессионального стандарта «Специалист по организации обращения с твердыми коммунальными отходами»</w:t>
            </w:r>
          </w:p>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Зарегистрировано в Минюсте России 15.05.2025 № 82191.</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С 1 сентября 2025 г. вводится профессиональный стандарт «Специалист по организации обращения с твердыми коммунальными отходами»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Целью профессиональной деятельности данных специалистов является организация обращения с ТКО на территориях в зоне деятельности регионального оператора.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Приводится описание трудовых функций, устанавливаются требования к образованию и обучению, к опыту практической работы.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Настоящий приказ действует до 1 сентября 2031 г. </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Минприроды России от 31.03.2025 № 158 «Об утверждении критериев отнесения отходов к I - V классам опасности по степени негативного воздействия на окружающую среду»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29.04.2025 № 82010.</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Утверждены новые критерии отнесения отходов к I - V классам опасности по степени негативного воздействия на окружающую среду.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Критерии предназначены для индивидуальных предпринимателей и юридических лиц, в процессе деятельности которых образуются отходы производства и потребления, а также Росприроднадзора.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Признается утратившим силу аналогичный Приказ Минприроды России от 04.12.2014 № 536.</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Настоящий приказ вступает в силу с 1 сентября 2025 г. и действует до 1 сентября 2031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ФАС России от </w:t>
            </w:r>
            <w:r>
              <w:rPr>
                <w:rFonts w:ascii="PT Astra Serif" w:eastAsiaTheme="minorHAnsi" w:hAnsi="PT Astra Serif" w:cs="PT Astra Serif"/>
                <w:bCs/>
                <w:iCs/>
                <w:sz w:val="24"/>
                <w:szCs w:val="24"/>
                <w:lang w:eastAsia="en-US"/>
              </w:rPr>
              <w:lastRenderedPageBreak/>
              <w:t>01.04.2025 № 220/25 «О внесении изменений в Порядок проверки представленных заказчиком документов, содержащих сведения, предусмотренные пунктами 2 - 4 Правил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 ноября 2012 г. № 1211, утвержденный Приказом ФАС России от 24 декабря 2024 г. № 1072/24»</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05.05.2025 № 82055.</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Уточнен Порядок проверки представленных заказчиком документов, содержащих </w:t>
            </w:r>
            <w:r>
              <w:rPr>
                <w:rFonts w:ascii="PT Astra Serif" w:eastAsiaTheme="minorHAnsi" w:hAnsi="PT Astra Serif" w:cs="PT Astra Serif"/>
                <w:sz w:val="24"/>
                <w:szCs w:val="24"/>
                <w:lang w:eastAsia="en-US"/>
              </w:rPr>
              <w:lastRenderedPageBreak/>
              <w:t>сведения, предусмотренные пунктами 2 - 4 Правил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Скорректированы случаи рассмотрения ФАС России документов, содержащих сведения о недобросовестных участниках закупки и поставщиках (исполнителях, подрядчиках).</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Предусмотрено, что ФАС России рассматривает документы, содержащие указанные сведения, также в случае проведения закупки в рамках государственного оборонного заказа заказчиками, расположенными на территории ЦФО, независимо от начальной (максимальной) цены договора (цены лота).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предусмотрены случаи, в которых территориальные органы ФАС России осуществляют рассмотрение документов, содержащих указанные сведения, при проведении закупки в рамках государственного оборонного заказа независимо от начальной (максимальной) цены договора (цены лота).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Минпросвещения России от 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w:t>
            </w:r>
            <w:r>
              <w:rPr>
                <w:rFonts w:ascii="PT Astra Serif" w:eastAsiaTheme="minorHAnsi" w:hAnsi="PT Astra Serif" w:cs="PT Astra Serif"/>
                <w:bCs/>
                <w:iCs/>
                <w:sz w:val="24"/>
                <w:szCs w:val="24"/>
                <w:lang w:eastAsia="en-US"/>
              </w:rPr>
              <w:lastRenderedPageBreak/>
              <w:t>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06.05.2025 № 82070.</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Установлена продолжительность рабочего времени педагогов в школах и колледжах.</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(или) специальности.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Так, в частности, продолжительность рабочего времени 36 часов в неделю устанавливается: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w:t>
            </w:r>
            <w:r>
              <w:rPr>
                <w:rFonts w:ascii="PT Astra Serif" w:eastAsiaTheme="minorHAnsi" w:hAnsi="PT Astra Serif" w:cs="PT Astra Serif"/>
                <w:sz w:val="24"/>
                <w:szCs w:val="24"/>
                <w:lang w:eastAsia="en-US"/>
              </w:rPr>
              <w:lastRenderedPageBreak/>
              <w:t>вида деятельности; педагогам-психологам; социальным педагогам; педагогам-организаторам; мастерам производственного обучения; методистам и старшим методистам; советникам директора по воспитанию и взаимодействию с детскими общественными объединениями и др.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Кроме того, документом утвержден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СПО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Настоящий приказ вступает в силу 1 сентября 2025 года и действует до 1 сентября 2031 года.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Минтранса России от 14.04.2025 № 132 «О внесении изменения в перечень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w:t>
            </w:r>
            <w:r>
              <w:rPr>
                <w:rFonts w:ascii="PT Astra Serif" w:eastAsiaTheme="minorHAnsi" w:hAnsi="PT Astra Serif" w:cs="PT Astra Serif"/>
                <w:bCs/>
                <w:iCs/>
                <w:sz w:val="24"/>
                <w:szCs w:val="24"/>
                <w:lang w:eastAsia="en-US"/>
              </w:rPr>
              <w:lastRenderedPageBreak/>
              <w:t>транспорте и в дорожном хозяйстве, утвержденный приказом Министерства транспорта Российской Федерации от 22 июня 2023 г. № 229»</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15.05.2025 № 82195.</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Скорректирован перечень индикаторов риска нарушения обязательных требований при осуществлении госконтроля (надзора) на автомобильном транспорте, городском наземном электрическом транспорте и в дорожном хозяйстве.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В новой редакции изложен индикатор, предусмотренный пунктом 2 перечня: поступление в лицензирующий орган заявления о включении сведений об автобусах в реестр лицензий от лицензиата, автобусы которого, используемые для осуществления перевозок пассажиров и иных лиц автобусами, принадлежат на праве собственности или ином законном основании иному лицензиату и включены в реестр лицензий, при условии отсутствия в лицензирующем органе от такого лицензиата заявления о прекращении лицензируемого вида деятельности либо заявления об исключении из </w:t>
            </w:r>
            <w:r>
              <w:rPr>
                <w:rFonts w:ascii="PT Astra Serif" w:eastAsiaTheme="minorHAnsi" w:hAnsi="PT Astra Serif" w:cs="PT Astra Serif"/>
                <w:sz w:val="24"/>
                <w:szCs w:val="24"/>
                <w:lang w:eastAsia="en-US"/>
              </w:rPr>
              <w:lastRenderedPageBreak/>
              <w:t>реестра лицензий сведений об используемых для осуществления лицензируемой деятельности автобусах.</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Минпросвещения России от 31.03.2025 № 253 «Об утверждении Порядка обеспечения условий доступности для инвалидов объектов и предоставляемых услуг в сфере общего,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организации отдыха и оздоровления детей, а также оказания им при этом необходимой помощи»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15.05.2025 № 82197.</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Утвержден новый порядок обеспечения условий доступности для инвалидов объектов и предоставляемых услуг в сфере образования и в сфере организации отдыха и оздоровления детей, а также оказания им при этом необходимой помощи.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Обеспечение условий доступности для инвалидов объектов (помещения, здания и иные сооружения), используемых для предоставления услуг в сфере общего,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 сфере организации отдыха и оздоровления детей, прилегающей к объектам территории, и услуг в сфере образования, в сфере отдыха, оказание им при этом необходимой помощи в преодолении барьеров, мешающих получению услуг и использованию объектов наравне с другими лицами, осуществляется Минпросвещения, уполномоченными региональными и муниципальными органами и подведомственными им организациями.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Закреплены условия доступности объектов и услуг для инвалидов, которые необходимо обеспечить руководителям органов и организаций, предоставляющих соответствующие услуги. Определены особенности обследования данных объектов и предоставляемых услуг, по результатам которого составляется паспорт доступности для инвалидов объекта и услуг.</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Настоящий приказ вступает в силу с 1 сентября 2025 года и действует до 1 сентября 2031 года.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Минэкономразвития России от 14.05.2025 № 314 «О внесении изменений в Методические рекомендации </w:t>
            </w:r>
            <w:r>
              <w:rPr>
                <w:rFonts w:ascii="PT Astra Serif" w:eastAsiaTheme="minorHAnsi" w:hAnsi="PT Astra Serif" w:cs="PT Astra Serif"/>
                <w:bCs/>
                <w:iCs/>
                <w:sz w:val="24"/>
                <w:szCs w:val="24"/>
                <w:lang w:eastAsia="en-US"/>
              </w:rPr>
              <w:lastRenderedPageBreak/>
              <w:t>по организации в субъектах Российской Федерации деятельности в сфере развития туризма, утвержденные Приказом Минэкономразвития России от 22 января 2024 г. № 27»</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lastRenderedPageBreak/>
              <w:t>Методические рекомендации по организации в регионах деятельности в сфере развития туризма дополнены положениями об автотуризме.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В частности, предусмотрены рекомендации по формированию и реализации мероприятий по созданию некапитальных объектов туристской инфраструктуры вблизи </w:t>
            </w:r>
            <w:r>
              <w:rPr>
                <w:rFonts w:ascii="PT Astra Serif" w:eastAsiaTheme="minorHAnsi" w:hAnsi="PT Astra Serif" w:cs="PT Astra Serif"/>
                <w:bCs/>
                <w:iCs/>
                <w:sz w:val="24"/>
                <w:szCs w:val="24"/>
                <w:lang w:eastAsia="en-US"/>
              </w:rPr>
              <w:lastRenderedPageBreak/>
              <w:t>автомобильных дорог, согласованию указанных мероприятий, а также планов их реализации с Минэкономразвития России.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Закреплено, что мероприятия по созданию некапитальных объектов туристской инфраструктуры вблизи автомобильных дорог могут быть направлены, в частности, на: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создание или приобретение, установку некапитальных объектов общественного питания (за исключением фургонов или специализированных автомобильных прицепов, оборудованных для приготовления, хранения и продажи готовой еды), которые могут быть расположены в составе многофункциональных зон дорожного сервиса и площадок отдыха;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создание электронных путеводителей по автомобильным туристским маршрутам, в том числе мобильных приложений и аудиогидов;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создание или приобретение, установку некапитальных спортивных площадок, санитарных модулей, модульных прачечных и душевых комнат, модульных комнат матери и ребенка и пунктов телемедицины в составе многофункциональных зон дорожного сервиса и площадок отдыха, а также оборудования к ним и пр.</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Минздрава России от 14.04.2025 № 201н «Об утверждении Порядка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w:t>
            </w:r>
            <w:r>
              <w:rPr>
                <w:rFonts w:ascii="PT Astra Serif" w:eastAsiaTheme="minorHAnsi" w:hAnsi="PT Astra Serif" w:cs="PT Astra Serif"/>
                <w:bCs/>
                <w:iCs/>
                <w:sz w:val="24"/>
                <w:szCs w:val="24"/>
                <w:lang w:eastAsia="en-US"/>
              </w:rPr>
              <w:lastRenderedPageBreak/>
              <w:t>формы заключения медицинской организации»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20.05.2025 № 82259.</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lastRenderedPageBreak/>
              <w:t>Актуализирован порядок прохождения диспансеризации федеральными государственными гражданскими служащими, государственными гражданскими служащими субъектов РФ и муниципальными служащими.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Также утверждены: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перечень заболеваний, препятствующих поступлению на государственную гражданскую службу РФ и муниципальную службу или ее прохождению;</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учетная форма № 001-ГС/у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Настоящий приказ вступает в силу с 1 сентября 2025 года и действует до 1 сентября 2031 года. Утратит силу Приказ Минздравсоцразвития от 14 декабря 2009 г. № 984н, регулирующий аналогичные правоотношения.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Минфина России от 28.04.2025 № 48н «О внесении изменений в коды (перечни кодов) бюджетной классификации Российской Федерации на 2025 год (на 2025 год и на плановый период 2026 и 2027 годов), утвержденные Приказом Министерства финансов Российской Федерации от 10 июня 2024 г. № 85н»</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Внесены изменения в перечни КБК, установленные Приказом Минфина России от 10 июня 2024 г. № 85н.</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Некоторые перечни дополнены новыми кодами и направлениями расходов, уточнены положения, предусматривающие порядок отражения доходов и расходов по кодам бюджетной классификации.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Приказ Минздрава России от 09.04.2025 № 173н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w:t>
            </w:r>
            <w:r>
              <w:rPr>
                <w:rFonts w:ascii="PT Astra Serif" w:eastAsiaTheme="minorHAnsi" w:hAnsi="PT Astra Serif"/>
                <w:sz w:val="24"/>
                <w:szCs w:val="24"/>
                <w:lang w:eastAsia="en-US"/>
              </w:rPr>
              <w:lastRenderedPageBreak/>
              <w:t>медицинских ограничений к управлению транспортными средствами»</w:t>
            </w:r>
          </w:p>
          <w:p w:rsidR="005457AC" w:rsidRDefault="005457AC" w:rsidP="005457AC">
            <w:pPr>
              <w:spacing w:after="0" w:line="240" w:lineRule="auto"/>
              <w:jc w:val="both"/>
              <w:rPr>
                <w:rFonts w:ascii="PT Astra Serif" w:eastAsiaTheme="minorHAnsi" w:hAnsi="PT Astra Serif"/>
                <w:sz w:val="24"/>
                <w:szCs w:val="24"/>
                <w:highlight w:val="yellow"/>
                <w:lang w:eastAsia="en-US"/>
              </w:rPr>
            </w:pPr>
            <w:r>
              <w:rPr>
                <w:rFonts w:ascii="PT Astra Serif" w:eastAsiaTheme="minorHAnsi" w:hAnsi="PT Astra Serif"/>
                <w:sz w:val="24"/>
                <w:szCs w:val="24"/>
                <w:lang w:eastAsia="en-US"/>
              </w:rPr>
              <w:t>Зарегистрировано в Минюсте России 23.05.2025 № 82317.</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lastRenderedPageBreak/>
              <w:t>Обновлена процедура направления на внеочередное обязательное медицинское освидетельствование водителей транспортных средств.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Внеочередное обязательное медицинское освидетельствование водителей транспортных средств проводится в случае, если при проведении обязательного периодического медицинского осмотра работника выявлены признаки заболеваний (состояний), являющихся медицинскими противопоказаниями либо ранее не выявлявшихся медицинскими показаниями или медицинскими ограничениями к управлению транспортными средствами, перечни которых устанавливаются в соответствии с частью 4 статьи 23.1 Федерального закона от 10 декабря 1995 г. № 196-ФЗ, и подтвержденных по результатам последующих обследования и лечения.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Также актуализирован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Настоящий приказ вступит в силу с 1 сентября 2025 года и будет действовать до 1 сентября 2031 года. Утратит силу Приказ Минздрава от 15 июня 2015 года № 342н, </w:t>
            </w:r>
            <w:r>
              <w:rPr>
                <w:rFonts w:ascii="PT Astra Serif" w:eastAsiaTheme="minorHAnsi" w:hAnsi="PT Astra Serif"/>
                <w:sz w:val="24"/>
                <w:szCs w:val="24"/>
                <w:lang w:eastAsia="en-US"/>
              </w:rPr>
              <w:lastRenderedPageBreak/>
              <w:t>регулирующий аналогичные правоотношения.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Минтруда России от 21.04.2025 № 269н «Об утверждении профессионального стандарта «Специалист по управлению многоквартирными домами»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27.05.2025 № 82341.</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 1 сентября 2025 г. применяется актуализированный профессиональный стандарт «Специалист по управлению многоквартирными домами».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Целью профессиональной деятельности данных специалистов является обеспечение благоприятных и безопасных условий проживания граждан и надлежащего содержания общего имущества в многоквартирном доме с использованием информационных технологий.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Признается утратившим силу Приказ Минтруда России от 31.07.2019 № 538н, которым утвержден аналогичный стандарт.</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Настоящий приказ действует до 1 сентября 2031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Минстроя России от 30.04.2025 № 266/пр «Об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 осуществляющий государственный жилищный надзор"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30.05.2025 № 82451.</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Обновлены требования к оформлению протокола общего собрания собственников помещений в МКД.</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В частности, закреплены требования к оформлению протоколов общих собраний собственников помещений в многоквартирных домах, проводимых в форме заочного голосования с использованием ГИС ЖКХ.</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 осуществляющий государственный жилищный надзор.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Настоящий документ вступает в силу с 1 сентября 2025 года и действует до 1 сентября 2031 года.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Утратит силу Приказ Минстроя от 28 января 2019 г. № 44/пр, регулирующий аналогичные правоотношения.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Минприроды России от 28.05.2025 № 299 «О внесении изменений в Приказ Минприроды России от 26 декабря 2022 г. № 919 «Об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Зарегистрировано в Минюсте России 02.06.2025 № 82504.</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 1 сентября 2025 г. вносятся изменения в порядок размещения информации в ФГИС учета твердых коммунальных отходов.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В частности, определен порядок размещения информации в случае перераспределения полномочий в области обращения с отходами производства и потребления между органами местного самоуправления и органами государственной власти субъекта РФ или в случае заключения соглашения об информационном взаимодействии между оператором системы и субъектом РФ. Также в новой редакции изложено приложение № 1 «Информация об источниках образования твердых коммунальных отходов».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Настоящий приказ действует до 1 сентября 2029 г.</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11.03.2025 № 13647-АЕ/04 «Об оплате фактически потребленных объемов горячей воды и тепловой энергии»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Рассмотрен вопрос об оплате горячей воды, поставляемой в нежилые здания посредством закрытой системы горячего водоснабжения.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Отмечается, что при наличии средств измерений (приборов учета), учитывающих объем потребленной в нежилом здании горячей воды и объем тепловой энергии в составе горячей воды, собственник нежилого здания обязан оплачивать фактически потребленные объемы горячей воды и тепловой энергии в составе горячей воды, определенные по показаниям таких средств измерений (приборов учета).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24.04.2025 № 24181-АФ/04 «О нормативе расхода тепловой энергии на подогрев воды»</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Уполномоченный орган субъекта РФ имеет право установить на едином уровне норматив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в частности, что Постановлением Правительства РФ от 23.05.2006 № 306 утверждены Правила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 306).</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Согласно пункту 24.1 приложения № 1 к Правилам № 306 норматив расхода тепловой </w:t>
            </w:r>
            <w:r>
              <w:rPr>
                <w:rFonts w:ascii="PT Astra Serif" w:eastAsiaTheme="minorHAnsi" w:hAnsi="PT Astra Serif" w:cs="PT Astra Serif"/>
                <w:sz w:val="24"/>
                <w:szCs w:val="24"/>
                <w:lang w:eastAsia="en-US"/>
              </w:rPr>
              <w:lastRenderedPageBreak/>
              <w:t>энергии на подогрев воды (Гкал на 1 куб. м) при применении расчетного метода определяется по формуле 23.1.</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случае установления на едином уровне норматива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применяемый в формуле 23.1 коэффициент К№ , учитывающий нормативные потери тепла трубопроводами систем горячего водоснабжения, определяется по формуле 23.2.</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28.04.2025 № 24963-ДН/04 «О Правилах предоставления коммунальных услуг собственникам и пользователям помещений в многоквартирных домах и жилых домов»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Разъяснены особенности определения размера платы за коммунальную услугу по горячему водоснабжению в МКД.</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от 6 мая 2011 г. № 354, в письме приводятся формулы расчета размера платы за коммунальную услугу по горячему водоснабжению.</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что объем тепловой энергии, используемой на подогрев воды в целях предоставления коммунальной услуги по горячему водоснабжению, определяется исходя из норматива расхода тепловой энергии, используемой на подогрев воды в целях предоставления указанной коммунальной услуги.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Применение в расчетах стоимости коммунальной услуги по горячему водоснабжению фактического объема тепловой энергии, затраченного на подогрев воды, определенного по показаниям прибора учета тепловой энергии, законом не предусмотрено.</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отмечены особенности определения размера платы за коммунальную услугу по отоплению при открытой системе теплоснабжения и закрытой системе теплоснабжения.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05.05.2025 № 25980-ДН/04 «О проведении и оплате работ по текущему ремонту общего имущества в многоквартирном доме»</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Даны разъяснения по вопросу проведения работ по текущему ремонту общего имущества в многоквартирном доме и оплате таких работ.</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частности, со ссылками на действующее законодательство в письме отмечено следующее: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управляющие организации обязаны выполнять все необходимые работы, обеспечивающие надлежащее состояние общего имущества в МКД;</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собственники помещений в МКД обязаны оплачивать работы по текущему ремонту общего имущества в МКД в составе платы за содержание жилого помещения;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работы, выполняемые управляющей организацией в рамках договора управления МКД, подлежат оплате собственниками помещений в МКД в составе платы за содержание </w:t>
            </w:r>
            <w:r>
              <w:rPr>
                <w:rFonts w:ascii="PT Astra Serif" w:eastAsiaTheme="minorHAnsi" w:hAnsi="PT Astra Serif" w:cs="PT Astra Serif"/>
                <w:sz w:val="24"/>
                <w:szCs w:val="24"/>
                <w:lang w:eastAsia="en-US"/>
              </w:rPr>
              <w:lastRenderedPageBreak/>
              <w:t>жилого помещения, порядок определения размера которой устанавливается договором управления МКД.</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22.04.2025 № 23596-АФ/04 «Об осуществлении расчетов за жилищно-коммунальные услуги посредством Единых расчетных центров»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Минстрой России рассмотрел вопрос о расчетах за жилищно-коммунальные услуги через Единые расчетные центры.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что создание Единых расчетных центров (далее - ЕРЦ) направлено на обеспечение эффективного взаимодействия с потребителями коммунальных услуг путем централизации расчетов и сокращения количества выставляемых платежных документов, а также формирование удобной для потребителей жилищно-коммунальных услуг системы комплексного обслуживания.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отмечается, что положения постановления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не устанавливают обязательности расчетов за жилищно-коммунальные услуги исключительно посредством ЕРЦ.</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05.05.2025 № 26049-АЛ/09 «О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Минстрой информирует о порядке направления в электронном виде проектной документации для проведения государственной экспертизы.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в частности, что пунктом 2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Минстроя России от 12.05.2017 № 783/пр (далее - Требования № 783/пр), установлено, что для получения соответствующих услуг электронные документы представляются в виде файлов в формате xml согласно схемам, размещенным на сайте Минстроя России в сети «Интернет». Схемы, подлежащие использованию для формирования документов в формате xml, размещаются на официальном сайте Минстроя России в сети Интернет и вводятся в действие по истечении трех месяцев со дня размещения.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В настоящее время на официальном сайте Минстроя России размещена xml-схема «Результаты конъюнктурного анализа» (дата публикации 18.07.2024), составленная с учетом рекомендуемого образца сводной таблицы результатов конъюнктурного анализа, предусмотренного приложением № 1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w:t>
            </w:r>
            <w:r>
              <w:rPr>
                <w:rFonts w:ascii="PT Astra Serif" w:eastAsiaTheme="minorHAnsi" w:hAnsi="PT Astra Serif" w:cs="PT Astra Serif"/>
                <w:sz w:val="24"/>
                <w:szCs w:val="24"/>
                <w:lang w:eastAsia="en-US"/>
              </w:rPr>
              <w:lastRenderedPageBreak/>
              <w:t>истории и культуры) народов Российской Федерации на территории Российской Федерации, утвержденной приказом Минстроя от 4 августа 2020 г. № 421/пр.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Учитывая изложенное, до момента ввода в действие актуализированной xml-схемы «Результаты конъюнктурного анализа», составленной с учетом рекомендуемого образца сводной таблицы результатов конъюнктурного анализа, предусмотренного приложением № 1 Методики № 421/пр, направление электронных документов для проведения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объектов капитального строительства рекомендуется выполнять в соответствии с xml-схемой, опубликованной на сайте Минстроя России 18.07.2024.</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05.05.2025 № 26170-АЛ/08 «О направлении разъяснений по вопросу внесения изменений в проектную документацию, получившую положительное заключение государственной экспертизы проектной документации, связанных с заменой строительных ресурсов на аналоги»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Направлены разъяснения по вопросу внесения изменений в проектную документацию, получившую положительное заключение государственной экспертизы проектной документации, связанных с заменой строительных ресурсов на аналоги.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частности, отмечено, что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пунктах 2 - 4 части 3.8 статьи 49 ГрК РФ,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более чем на 30 процентов и свыше 100 млн рублей, то проводится 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с выдачей соответствующего заключения.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случае необходимости внесения изменений в проектную документацию, получившую положительное заключение государственной экспертизы проектной документации, связанных с заменой строительных ресурсов на аналоги, соответствующие изменения необходимо вносить в соответствии с требованиями части 3.8 статьи 49, части 15.2 статьи 48 ГрК РФ.</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Минприроды России от 23.04.2025 № 19-47/17348 «О заполнении декларации о плате за негативное воздействие на окружающую среду»</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Даны разъяснения по вопросу формирования и представления декларации о воздействии на окружающую среду.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в частности, что декларация о воздействии на окружающую среду (далее - ДВОС) направляется одним из следующих способов: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если она заполнена на бумажном носителе - почтовым отправлением с описью вложения;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если она заполнена в электронном виде, то аналогично декларации о плате - посредством информационно-телекоммуникационных сетей, в том числе сети «Интернет», в форме электронного документа, подписанного электронной подписью (усиленной).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аналогично декларации о плате ДВОС может быть сформирована путем использования электронных сервисов, в том числе предоставляемых Федеральной службой по надзору в сфере природопользования. В частности, таким сервисом формирования и подачи экологической отчетности является «Личный кабинет природопользователя» Росприроднадзора.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Таким образом, в случае когда ДВОС формируется и представляется в форме электронного документа, подписанного электронной подписью, посредством «Личного кабинета природопользователя», в декларации о плате указывается номер отчета (номер поданной ДВОС), присвоенный порталом.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случае если ДВОС представляется на бумажном носителе (заполненная вручную или посредством электронных сервисов), то в декларации о плате возможно указать регистрационный номер входящей корреспонденции, присвоенный канцелярией органа, принимающего ДВОС.</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beforeAutospacing="1"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Письмо Минпросвещения России от 18.04.2025 № АБ-1447/07 «Об итоговой аттестации обучающихся с нарушением интеллекта»</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Минпросвещения: в 2024/25 учебном году обучающиеся с нарушением интеллекта проходят итоговую аттестацию.</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Речь идет о лицах, получающих образование по адаптированным основным общеобразовательным программам, разработанным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(утв. приказом Минобрнауки от 19 декабря 2014 г. № 1599) и федеральной адаптированной основной общеобразовательной программой обучающихся с умственной отсталостью (интеллектуальными нарушениями) (утв. приказом Минпросвещения от 24 ноября 2022 г. № 1026), срок реализации которых составляет 9 лет.</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Указанным обучающимся в связи с завершением ими обучения выдается свидетельство об обучении.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что в целях методической поддержки организации и проведения в 2025 году итоговой аттестации обучающихся с нарушением интеллекта и выдачи по ее итогам свидетельств об обучении разработаны соответствующие разъяснения, доступные по ссылке: https://ikp-rao.ru/wp-co№ te№ t/uploads/2025/04/ia_obuche№ ie.pdf.</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Рособрнадзора от 06.05.2025 № 10-143 «О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2025 году»</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Направлен график обработки экзаменационных материалов основного периода проведения ГИА по образовательным программам среднего общего образования в 2025 году.</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графике приводятся перечень экзаменов, даты их сдачи, даты завершения обработки экзаменационных работ на региональном уровне, даты обработки экзаменационных работ на федеральном уровне и направления результатов ГИА-11 в регионы.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Рекомендовано разработать региональные графики официальных дней объявления результатов ГИА и обработки апелляций о несогласии с выставленными баллами в соответствии с фактической датой официального объявления результатов экзаменов.</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Росреестра от 28.03.2025 № 11-00752/25 «О рассмотрении обращения»</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Росреестр рассмотрел вопрос о предоставлении гражданам земельных участков, находящихся в государственной или муниципальной собственности.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Разъяснены положения статьи 3.8 Федерального закона от 25.10.2001 № 137-ФЗ «О введении в действие Земельного кодекса Российской Федерации», порядка проведения осмотра жилого дома в целях предоставления земельного участка, находящегося в государственной или муниципальной собственности, установленного приказом Росреестра от 23.03.2022 № П/0100.</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Минфина России от 16.04.2025 № 02-09-08/38214 «По вопросу реализации принципа независимости государственных гражданских (муниципальных) служащих органа внутреннего государственного (муниципального) финансового контроля»</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Должностное лицо органа контроля субъекта РФ не может осуществлять свои должностные обязанности в отношении объекта контроля, в котором работает его близкий родственник.</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Указанное должностное лицо не может являться уполномоченным на проведение контрольного мероприятия должностным лицом, а также находиться в составе проверочной (ревизионной) группы в рамках исполнения своих служебных обязанностей.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В случае отсутствия в составе органа контроля уполномоченных должностных лиц с необходимой специализацией (например, в строительной сфере) для проведения контрольных мероприятий в отношении объекта контроля руководитель органа контроля при принятии решения о назначении контрольного мероприятия вправе привлечь независимых экспертов (специализированные экспертные организации), специалистов иных государственных (муниципальных) органов, подведомственных им учреждений, а также специалистов учреждений, подведомственных органу контроля, для организации экспертиз, необходимых для проведения контрольного мероприятия с учетом специфики деятельности объекта контроля.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Письмо Росреестра от </w:t>
            </w:r>
            <w:r>
              <w:rPr>
                <w:rFonts w:ascii="PT Astra Serif" w:eastAsiaTheme="minorHAnsi" w:hAnsi="PT Astra Serif" w:cs="PT Astra Serif"/>
                <w:bCs/>
                <w:iCs/>
                <w:sz w:val="24"/>
                <w:szCs w:val="24"/>
                <w:lang w:eastAsia="en-US"/>
              </w:rPr>
              <w:lastRenderedPageBreak/>
              <w:t>31.03.2025 № 18-2988-ТГ/25 «По вопросу, связанному с устранением пересечений границ земельных участков с границами населенных пунктов, территориальных зон, лесничеств, возникших в результате осуществления государственного кадастрового учета земельных участков»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lastRenderedPageBreak/>
              <w:t xml:space="preserve">Рассмотрен вопрос об устранении пересечений границ земельных участков с границами </w:t>
            </w:r>
            <w:r>
              <w:rPr>
                <w:rFonts w:ascii="PT Astra Serif" w:eastAsiaTheme="minorHAnsi" w:hAnsi="PT Astra Serif" w:cs="PT Astra Serif"/>
                <w:bCs/>
                <w:iCs/>
                <w:sz w:val="24"/>
                <w:szCs w:val="24"/>
                <w:lang w:eastAsia="en-US"/>
              </w:rPr>
              <w:lastRenderedPageBreak/>
              <w:t>населенных пунктов, территориальных зон, лесничеств, возникших в результате осуществления кадастрового учета земельных участков.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Сообщается, что в случае принятия государственным регистратором прав решения об осуществлении учетно-регистрационных действий в отношении земельного участка с пересечением его границ с границами муниципального образования, населенного пункта, территориальной зоны, лесничества, в описании местоположения которых выявлена реестровая ошибка, попадающая под случаи исключения, предусмотренные пунктами 21, 27, 43 части 1 статьи 26 Федерального закона «О государственной регистрации недвижимости», территориальный орган Росреестра в срок не позднее 3 рабочих дней с момента осуществления учетно-регистрационных действий направляет в филиал ППК «Роскадастр» информацию о пересечении и наличии реестровой ошибки в описании местоположения границ муниципального образования, населенного пункта, территориальной зоны, лесничества, в том числе сведения, указанные в отношении таких границ в межевом плане земельного участка, представленном в орган регистрации прав для осуществления государственного кадастрового учета земельного участка.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 этом, если в межевом плане содержатся предусмотренные требованиями к подготовке межевого плана результаты необходимых измерений и вычислений в отношении иных сведений ЕГРН, для исправления реестровой ошибки используются такие приведенные в межевом плане сведения, позволяющие исправить реестровую ошибку.</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Письмо Росреестра от 29.04.2025 № 13-00674/25 «О предоставлении сведений из ЕГРН в виде кадастрового плана территории без сведений об адресах правообладателей земельных участков»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Даны разъяснения по вопросу предоставления сведений из ЕГРН в виде кадастрового плана территории без сведений об адресах правообладателей земельных участков.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Сообщается, в частности, что предоставление сведений, содержащихся в ЕГРН, регламентируется в том числе Порядком предоставления сведений, содержащихся в Едином государственном реестре недвижимости, утвержденным Приказом Росреестра от 08.04.2021 № П/0149 (далее - Порядок № П/0149).</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Пунктом 31 Порядка № П/0149 предусмотрено, что, в случае если в ППК "Роскадастр" поступил запрос кадастрового инженера, выполняющего комплексные кадастровые работы или кадастровые работы, о предоставлении сведений, содержащихся в ЕГРН, соответственно в виде кадастрового плана территории (далее - КПТ) или в виде выписки из ЕГРН об объекте недвижимости, в приложении к которому отсутствуют предусмотренные частью 16.2 статьи 62 Федерального закона от 13.07.2015 № 218-ФЗ "О государственной регистрации недвижимости" документы либо не указана </w:t>
            </w:r>
            <w:r>
              <w:rPr>
                <w:rFonts w:ascii="PT Astra Serif" w:eastAsiaTheme="minorHAnsi" w:hAnsi="PT Astra Serif" w:cs="PT Astra Serif"/>
                <w:bCs/>
                <w:iCs/>
                <w:sz w:val="24"/>
                <w:szCs w:val="24"/>
                <w:lang w:eastAsia="en-US"/>
              </w:rPr>
              <w:lastRenderedPageBreak/>
              <w:t>информация о размещении сведений о государственном или муниципальном контракте, заключенном заказчиком комплексных кадастровых работ с исполнителем таких работ, в единой информационной системе в сфере закупок, Роскадастр осуществляет подготовку соответствующих КПТ или выписки без указания сведений об адресе электронной почты и (или) о почтовом адресе, по которым осуществляется связь с лицом, чье право на земельный участок зарегистрировано, а также с лицом, в пользу которого зарегистрировано ограничение права или обременение указанного объекта недвижимости.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Письмо ППК «Роскадастр» от 20.05.2025 № 19-1136/25 «О направлении информации»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Даны разъяснения по вопросу о требованиях к заверению судебного акта, прилагаемого к запросу арбитражного управляющего и подтверждающего его полномочия на бесплатное получение сведений ограниченного доступа из ЕГРН.</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Сообщается, в частности, что предоставление сведений, содержащихся в ЕГРН, регламентируется в том числе Порядком предоставления сведений, содержащихся в Едином государственном реестре недвижимости, утвержденным Приказом Росреестра от 08.04.2021 № П/0149 (далее - Порядок № П/0149).</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Согласно пункту 49 Порядка № П/0149 при представлении запроса сведений из ЕГРН ограниченного доступа в электронном виде требуется заверение определения суда об утверждении арбитражного управляющего усиленной квалифицированной электронной подписью судьи либо нотариуса.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Указанное требование положения пункта 49 Порядка № П/0149 обжаловалось в судебном порядке, решением Верховного Суда РФ от 11.02.2025 № АКПИ24-916 в удовлетворении требования истцов было отказано, определением Апелляционной коллегии Верховного Суда РФ от 15.04.2025 № АПЛ25-79 решение Верховного Суда РФ от 11.02.2025 по делу № АКПИ24-916 оставлено без изменения, апелляционная жалоба - без удовлетворения.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Принимая во внимание вышеизложенное, заверение прилагаемых к запросу о предоставлении сведений из ЕГРН копий документов должно осуществляться в соответствии с требованиями Порядка № П/0149.</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 xml:space="preserve">Письмо Минздрава России от 13.05.2025 № 15-2/И/1-9331 «Об организации своевременного оказания первичной медико-санитарной </w:t>
            </w:r>
            <w:r>
              <w:rPr>
                <w:rFonts w:ascii="PT Astra Serif" w:eastAsia="Times New Roman" w:hAnsi="PT Astra Serif" w:cs="Times New Roman"/>
                <w:sz w:val="24"/>
                <w:szCs w:val="24"/>
                <w:lang w:eastAsia="en-US"/>
              </w:rPr>
              <w:lastRenderedPageBreak/>
              <w:t>помощи, скорой медицинской помощи несовершеннолетним обучающимся в период проведения Единого государственного экзамена, Основного государственного экзамена»</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lastRenderedPageBreak/>
              <w:t>Направлены информационные материалы по организации своевременного оказания первичной медико-санитарной помощи, скорой медицинской помощи несовершеннолетним обучающимся в период проведения ЕГЭ и ОГЭ.</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В образовательных организациях, осуществляющих прием экзаменов, медицинская помощь обучающимся оказывается в медицинском кабинете. В случае его отсутствия в </w:t>
            </w:r>
            <w:r>
              <w:rPr>
                <w:rFonts w:ascii="PT Astra Serif" w:eastAsiaTheme="minorHAnsi" w:hAnsi="PT Astra Serif" w:cs="PT Astra Serif"/>
                <w:bCs/>
                <w:iCs/>
                <w:sz w:val="24"/>
                <w:szCs w:val="24"/>
                <w:lang w:eastAsia="en-US"/>
              </w:rPr>
              <w:lastRenderedPageBreak/>
              <w:t>образовательной организации необходимо обеспечить присутствие медицинского работника в период проведения экзаменов.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 экстренным показаниям для устранения угрозы жизни несовершеннолетнему обучающемуся в регионе обеспечивается возможность приезда бригады скорой медицинской помощи в пункты приема экзаменов в соответствии с Порядком оказания скорой, в том числе скорой специализированной, медицинской помощи, утвержденным Приказом Минздрава от 20.06.2013 № 388н (не позднее 20 минут от момента вызова).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Также отмечена необходимость соблюдения обучающимися питьевого режима в период проведения ЕГЭ, ОГЭ, в связи с этим в пунктах приема экзаменов рекомендовано размещать стол с бутилированной водой без газа или кулер для воды.</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Письмо Минпросвещения России от 05.05.2025 № 02-261 «О размещении методических рекомендаций»</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Представлены обновленные 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Методические рекомендации содержат описание особенностей процессов сбора, обобщения и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СПО, основным программам профессионального обучения, дополнительным общеобразовательным программам (далее - НОКО), и предназначены для использования исполнительными органами субъектов РФ,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проведению НОКО при уполномоченных органах государственной власти, органах местного самоуправления, а также организациями-операторами.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Перечень показателей НОКО и порядок их расчета являются едиными и универсальными для проведения НОКО на федеральном, региональном и муниципальном уровнях.</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Письмо Минфина России от 03.04.2025 № 23-01-07/32960 «О признании безнадежной к взысканию задолженности по платежам в бюджет в случае исключения юридического </w:t>
            </w:r>
            <w:r>
              <w:rPr>
                <w:rFonts w:ascii="PT Astra Serif" w:eastAsiaTheme="minorHAnsi" w:hAnsi="PT Astra Serif" w:cs="PT Astra Serif"/>
                <w:bCs/>
                <w:iCs/>
                <w:sz w:val="24"/>
                <w:szCs w:val="24"/>
                <w:lang w:eastAsia="en-US"/>
              </w:rPr>
              <w:lastRenderedPageBreak/>
              <w:t>лица по решению регистрирующего органа из единого государственного реестра юридических лиц»</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Минфин: задолженность по платежам в бюджет в случае исключения юрлица из ЕГРЮЛ может быть признана безнадежной к взысканию при наличии постановления судебного пристава-исполнителя об окончании исполнительного производства.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Данный вывод следует, в частности, из положений подпункта 6 пункта 1 статьи 47.2 Бюджетного кодекса РФ, согласно которому обязательным условием признания платежей в бюджет безнадежными к взысканию является наличие постановления об </w:t>
            </w:r>
            <w:r>
              <w:rPr>
                <w:rFonts w:ascii="PT Astra Serif" w:eastAsiaTheme="minorHAnsi" w:hAnsi="PT Astra Serif" w:cs="PT Astra Serif"/>
                <w:sz w:val="24"/>
                <w:szCs w:val="24"/>
                <w:lang w:eastAsia="en-US"/>
              </w:rPr>
              <w:lastRenderedPageBreak/>
              <w:t>окончании исполнительного производства в связи с возвратом взыскателю исполнительного документа по предусмотренным законом основаниям, полученного администратором доходов в ходе реализации бюджетных полномочий по осуществлению взыскания задолженности при отсутствии документа, свидетельствующего о погашении такой задолженности.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24.04.2025 № 11728-ОГ/00 «Об обязанности обеспечивать проверку исправности, работоспособности, регулировку и техническое обслуживание общедомовых (коллективных) приборов учета, а также их замену»</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Минстрой: требование по обеспечению надлежащего содержания общего имущества в многоквартирном доме в соответствии с требованиями технических регламентов является лицензионным требованием.</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Поскольку обеспечение надлежащей эксплуатации общедомовых приборов учета (ОДПУ), включая осмотры, техническое обслуживание, поверку, входит в перечень работ по содержанию общего имущества в многоквартирном доме, то невыполнение требования по надлежащей эксплуатации ОДПУ может квалифицироваться в качестве осуществления предпринимательской деятельности по управлению многоквартирными домами с нарушением лицензионных требований в соответствии с частью 2 статьи 14.1.3 КоАП РФ.</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imes New Roman" w:hAnsi="PT Astra Serif" w:cs="Times New Roman"/>
                <w:sz w:val="24"/>
                <w:szCs w:val="24"/>
                <w:lang w:eastAsia="en-US"/>
              </w:rPr>
              <w:t>Надзор за соблюдением юридическими лицами, индивидуальными предпринимателями и гражданами обязательных требований жилищного законодательства осуществляет орган государственного жилищного надзора в соответствии со статьей 20 ЖК РФ. В этой связи по фактам нарушения требований действующего законодательства потребителям услуг рекомендуется обращаться в уполномоченные органы исполнительной власти субъектов РФ (органы государственного жилищного надзора).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ППК «Роскадастр» от 26.05.2025 № 19-1185/25 «О направлении информации»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Даны разъяснения по вопросу внесения в ЕГРН документов и сведений о ранее учтенном объекте недвижимости.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Сообщается, в частности, что согласно положениям части 5 статьи 69 Федерального закона от 13.07.2015 № 218-ФЗ «О государственной регистрации недвижимости» (далее - Закон № 218-ФЗ) включение документов и сведений о ранее учтенном объекте недвижимости в ЕГРН осуществляется органом регистрации прав на основании: имеющейся в его распоряжении документации о ранее учтенном объекте недвижимости; документа, представленного заинтересованным лицом при его обращении с соответствующим заявлением в орган регистрации прав; документов,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w:t>
            </w:r>
            <w:r>
              <w:rPr>
                <w:rFonts w:ascii="PT Astra Serif" w:eastAsiaTheme="minorHAnsi" w:hAnsi="PT Astra Serif" w:cs="PT Astra Serif"/>
                <w:sz w:val="24"/>
                <w:szCs w:val="24"/>
                <w:lang w:eastAsia="en-US"/>
              </w:rPr>
              <w:lastRenderedPageBreak/>
              <w:t>его запросам; решения о выявлении правообладателя ранее учтенного объекта недвижимости и документов.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Согласно положениям пунктов 8, 9 части 8 статьи 69 Закона № 218-ФЗ орган регистрации прав принимает решение об отказе во внесении в ЕГРН сведений о ранее учтенных объектах недвижимости и (или) сведений о выявленных правообладателях таких объектов недвижимости, в случае если: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ЕГРН сведений о выявленных правообладателях ранее учтенных объектов недвижимости в соответствии со статьей 69.1 Закона № 218-ФЗ, не представлен межевой план;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машино-места, за исключением заявления уполномоченного органа, представленного в результате выполнения мероприятий по обеспечению внесения в ЕГРН сведений о выявленных правообладателях ранее учтенных объектов недвижимости в соответствии со статьей 69.1 Закона № 218-ФЗ, не представлен технический план.</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Минстроя России от 26.05.2025 № 30122-АФ/04 «О перерасчете размера расходов на оплату коммунальных ресурсов в многоквартирном доме»</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Минстрой России рассмотрел вопрос о перерасчете размера расходов на оплату коммунальных ресурсов в многоквартирном доме.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Сообщается, что корректировка размера платы за коммунальную услугу по отоплению при сохранении выбранного способа оплаты равномерно в течение календарного года осуществляется исполнителем за прошедший год (для случаев отсутствия централизованного теплоснабжения - 1 раз в год), а при принятии решения об изменении способа оплаты коммунальной услуги по отоплению -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Действующее законодательство не предусматривает возможность распределения суммы корректировки размера платы за коммунальную услугу по отоплению между несколькими собственниками.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Письмо Минстроя России от </w:t>
            </w:r>
            <w:r>
              <w:rPr>
                <w:rFonts w:ascii="PT Astra Serif" w:eastAsiaTheme="minorHAnsi" w:hAnsi="PT Astra Serif" w:cs="PT Astra Serif"/>
                <w:bCs/>
                <w:iCs/>
                <w:sz w:val="24"/>
                <w:szCs w:val="24"/>
                <w:lang w:eastAsia="en-US"/>
              </w:rPr>
              <w:lastRenderedPageBreak/>
              <w:t>23.05.2025 № 30038-ИФ/09 «Об индексах изменения сметной стоимости строительства на II квартал 2025 года»</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На II квартал 2025 года для 85 субъектов РФ, на территории которых в том числе </w:t>
            </w:r>
            <w:r>
              <w:rPr>
                <w:rFonts w:ascii="PT Astra Serif" w:eastAsiaTheme="minorHAnsi" w:hAnsi="PT Astra Serif" w:cs="PT Astra Serif"/>
                <w:sz w:val="24"/>
                <w:szCs w:val="24"/>
                <w:lang w:eastAsia="en-US"/>
              </w:rPr>
              <w:lastRenderedPageBreak/>
              <w:t>осуществляется строительство объектов капитального строительства, имеющих отраслевую специфику, рассчитаны индексы изменения сметной стоимости строительства по группам однородных строительных ресурсов.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Указанные индексы размещены в ФГИС ценообразования в строительстве в разделе «Сметные цены и индексы изменения сметной стоимости строительства» по электронному адресу в сети Интернет https://fgiscs.mi№ stroyrf.ru/prices.</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Письмо Минобрнауки России от 21.05.2025 № МН-5/1010 «О направлении информации»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Направлена справочная информация о предоставлении мер поддержки гражданину, заключившему договор о целевом обучении.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Отмечено, в частности, следующее: существенным условием договора о целевом обучении является обязательство заказчика целевого обучения по организации предоставления и (или) предоставлению гражданину, заключившему договор о целевом обучении, в период обучения мер поддержки.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Меры поддержки включают в себя меры материального стимулирования, оплату профессионального обучения и дополнительного образования за рамками образовательной программы, предоставление в пользование и (или) оплату жилого помещения в период целевого обучения и (или) другие меры.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Стороны договора о целевом обучении самостоятельно определяют перечень мер поддержки, однако он должен в обязательном порядке включать в себя материальное стимулирование в объеме не ниже размера государственной академической стипендии.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Материальное стимулирование в размере не менее минимального размера государственной академической стипендии осуществляется в отношении всех граждан, которые поступили на целевое обучение в пределах квоты по программам бакалавриата и программам специалитета, вне зависимости от формы обучения, а также вне зависимости от уровня бюджета, за счет которого финансируется обучение.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Также сообщается, что назначение студенту государственной академической стипендии за счет стипендиального фонда не может являться основанием для снижения или отмены материального стимулирования.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Кроме этого, представлен порядок расчета мер материального стимулирования на 2024/25 и 2025/26 учебные годы.</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Письмо Минздрава России от 19.04.2025 № 15-3/И/2-7681 «О направлении рекомендаций по здоровому образу жизни </w:t>
            </w:r>
            <w:r>
              <w:rPr>
                <w:rFonts w:ascii="PT Astra Serif" w:eastAsiaTheme="minorHAnsi" w:hAnsi="PT Astra Serif" w:cs="PT Astra Serif"/>
                <w:bCs/>
                <w:iCs/>
                <w:sz w:val="24"/>
                <w:szCs w:val="24"/>
                <w:lang w:eastAsia="en-US"/>
              </w:rPr>
              <w:lastRenderedPageBreak/>
              <w:t>несовершеннолетних во время оздоровления и отдыха в организациях отдыха детей и их оздоровления»</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Представлены рекомендации по здоровому образу жизни несовершеннолетних в организациях отдыха детей и их оздоровления.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Документ содержит методические материалы по формированию и поддержанию здорового образа жизни несовершеннолетних во время оздоровления и отдыха в </w:t>
            </w:r>
            <w:r>
              <w:rPr>
                <w:rFonts w:ascii="PT Astra Serif" w:eastAsiaTheme="minorHAnsi" w:hAnsi="PT Astra Serif" w:cs="PT Astra Serif"/>
                <w:sz w:val="24"/>
                <w:szCs w:val="24"/>
                <w:lang w:eastAsia="en-US"/>
              </w:rPr>
              <w:lastRenderedPageBreak/>
              <w:t>организациях отдыха детей и их оздоровления.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Рекомендации предназначены для врачей и среднего медицинского персонала отделений организации медицинской помощи несовершеннолетним в образовательных организациях и организаций отдыха детей и их оздоровления, педагогов.</w:t>
            </w:r>
          </w:p>
        </w:tc>
      </w:tr>
      <w:tr w:rsidR="005457AC" w:rsidTr="005457AC">
        <w:tc>
          <w:tcPr>
            <w:tcW w:w="13575" w:type="dxa"/>
            <w:gridSpan w:val="3"/>
          </w:tcPr>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b/>
                <w:sz w:val="24"/>
                <w:szCs w:val="24"/>
                <w:lang w:eastAsia="en-US"/>
              </w:rPr>
              <w:lastRenderedPageBreak/>
              <w:t>Раздел 2. Законодательство Ульяновской области, иные правовые акты Ульяновской области</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cs="PT Astra Serif"/>
                <w:bCs/>
                <w:iCs/>
                <w:sz w:val="24"/>
                <w:szCs w:val="24"/>
                <w:lang w:eastAsia="en-US"/>
              </w:rPr>
              <w:t>Закон Ульяновской области от 22.05.2025 №  45-ЗО</w:t>
            </w:r>
          </w:p>
          <w:p w:rsidR="005457AC" w:rsidRDefault="005457AC" w:rsidP="005457AC">
            <w:pPr>
              <w:spacing w:after="0" w:line="240" w:lineRule="auto"/>
              <w:jc w:val="both"/>
              <w:rPr>
                <w:rFonts w:eastAsiaTheme="minorHAnsi"/>
                <w:lang w:eastAsia="en-US"/>
              </w:rPr>
            </w:pPr>
            <w:r>
              <w:rPr>
                <w:rFonts w:ascii="PT Astra Serif" w:eastAsiaTheme="minorHAnsi" w:hAnsi="PT Astra Serif" w:cs="PT Astra Serif"/>
                <w:bCs/>
                <w:iCs/>
                <w:sz w:val="24"/>
                <w:szCs w:val="24"/>
                <w:lang w:eastAsia="en-US"/>
              </w:rPr>
              <w:t>«О внесении изменений в Закон Ульяновской области «О создании должностей мировых судей и судебных участков в Ульяновской области»</w:t>
            </w:r>
          </w:p>
        </w:tc>
        <w:tc>
          <w:tcPr>
            <w:tcW w:w="9355" w:type="dxa"/>
            <w:tcBorders>
              <w:top w:val="nil"/>
            </w:tcBorders>
          </w:tcPr>
          <w:p w:rsidR="005457AC" w:rsidRDefault="005457AC" w:rsidP="005457AC">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Уточнен и дополнен перечень и территории судебных участков в пределах Чердаклинского, Димитровградского, Железнодорожного, Заволжского, Засвияжского и Ленинского судебных районов города Ульяновска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Указ Губернатора Ульяновской области от 16.05.2025 № 41 «О внесении изменений в постановление Губернатора Ульяновской области от 16.03.2017 № 30»</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Скорректировано Положение о порядке проведения регионального этапа Всероссийского конкурса «Лучшая муниципальная практика».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Заявки муниципальных образований Ульяновской области на участие в региональном этапе конкурса представляются в конкурсную комиссию до 5 июня.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Муниципальное образование, ставшее победителем регионального этапа конкурса в соответствующей номинации, имеет право участвовать в региональном этапе конкурса по этой же номинации не ранее чем через три года.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Конкурсные заявки муниципальных образований Ульяновской области, получивших право участия в федеральном этапе конкурса, представляются региональной комиссией в федеральную комиссию до 1 августа.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Указ Губернатора Ульяновской области от 16.05.2025 № 40 «О внесении изменений в указ Губернатора Ульяновской области от 01.06.2022 № 68»</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Внесены изменения в указ Губернатора Ульяновской области «Об организации проектной деятельности в Правительстве Ульяновской области и в возглавляемых им исполнительных органах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Уточнены функции регионального проектного офиса - подразделения, образуемого в Правительстве Ульяновской области. В частности, он осуществляет совместно с участниками региональных проектов оценку рисков реализации региональных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Также региональный проектный офис представляет по запросу федерального </w:t>
            </w:r>
            <w:r>
              <w:rPr>
                <w:rFonts w:ascii="PT Astra Serif" w:eastAsiaTheme="minorHAnsi" w:hAnsi="PT Astra Serif" w:cs="PT Astra Serif"/>
                <w:sz w:val="24"/>
                <w:szCs w:val="24"/>
                <w:lang w:eastAsia="en-US"/>
              </w:rPr>
              <w:lastRenderedPageBreak/>
              <w:t>ведомственного проектного офиса в порядке, установленном Методическими рекомендациями по вопросам управления рисками, дополнительную информацию о параметрах региональных проектов, которые оказывают влияние на риски реализации национальных и федеральных проектов.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Руководители проектов обеспечивают управление рисками реализации региональных проектов, утверждают меры реагирования, направленные на устранение (минимизацию) рисков реализации таких проектов, в порядке, установленном Методическими рекомендациями по вопросам управления рисками, а также при необходимости наделяют указанными полномочиями администраторов соответствующих региональных проектов.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Администраторы проектов - участники проектов обеспечивают по поручению руководителя регионального проекта управление рисками реализации соответствующих проектов, а также утверждают меры реагирования, направленные на устранение (минимизацию) рисков реализации таких проектов; подписывают отчет о ходе реализации регионального проекта, обеспечивающего достижение значений показателей и результатов соответствующего федерального проекта, входящего в состав национального проекта, за месяц, квартал и год в случае увольнения руководителя соответствующего проекта, временного отсутствия у него возможности утверждения отчета (за месяц, квартал и год) по причине временной нетрудоспособности, отпуска, служебной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отчета за месяц); при подписании отчета за месяц, квартал и год несут ответственность за достоверность, обоснованность, актуальность и полноту информации, содержащейся в нем.</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Ульяновской области от 29.04.2025 № 209-П «О внесении изменений в постановление Правительства Ульяновской области от 26.04.2010 № 135-П»</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Внесены изменения в постановление «Об оценке эффективности использования средств областного бюджета Ульяновской области, направляемых на капитальные вложения». Установлено, что действие Правил проведения проверки инвестиционных проектов на предмет обоснованности и эффективности использования средств областного бюджета Ульяновской области, направляемых на капитальные вложения, не распространяется на инвестиционные проекты, реализуемые в соответствии с соглашениями, публичным партнером в которых является Ульяновская область. Упорядочено подтверждение обоснованности и эффективности использования средств областного бюджета, направляемых на капитальные вложения, а также подготовка заключения об </w:t>
            </w:r>
            <w:r>
              <w:rPr>
                <w:rFonts w:ascii="PT Astra Serif" w:eastAsiaTheme="minorHAnsi" w:hAnsi="PT Astra Serif" w:cs="PT Astra Serif"/>
                <w:sz w:val="24"/>
                <w:szCs w:val="24"/>
                <w:lang w:eastAsia="en-US"/>
              </w:rPr>
              <w:lastRenderedPageBreak/>
              <w:t>обоснованности и эффективности использования данных средств. Уточнена Методика оценки обоснованности и эффективности использования средств областного бюджета ульяновской области, направляемых на капитальные вложения.</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cs="PT Astra Serif"/>
                <w:bCs/>
                <w:iCs/>
                <w:sz w:val="24"/>
                <w:szCs w:val="24"/>
                <w:lang w:eastAsia="en-US"/>
              </w:rPr>
              <w:t xml:space="preserve">Постановление Правительства Ульяновской области от 29.04.2025 № 210-П «О внесении изменений в постановление Правительства Ульяновской области от 03.06.2014 № 207-П» </w:t>
            </w:r>
          </w:p>
        </w:tc>
        <w:tc>
          <w:tcPr>
            <w:tcW w:w="9355" w:type="dxa"/>
            <w:tcBorders>
              <w:top w:val="nil"/>
            </w:tcBorders>
          </w:tcPr>
          <w:p w:rsidR="005457AC" w:rsidRDefault="005457AC" w:rsidP="005457AC">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Внесены изменения в постановление Правительства Ульяновской области «Об утверждении Правил определения объема и предоставления субсидий из областного бюджета Ульяновской области спортивным клубам».</w:t>
            </w:r>
          </w:p>
          <w:p w:rsidR="005457AC" w:rsidRDefault="005457AC" w:rsidP="005457AC">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Установлено, что субсидии предоставляются по результатам отбора, проводимого в форме запроса предложений в государственной интегрированной информационной системе управления общественными финансами «Электронный бюджет». Объявление о проведении отбора размещается Министерством физической культуры и спорта не позднее 1 рабочего дня до дня начала срока приема заявок на участие в отборе на едином портале, а также на официальном сайте Министерства в сети «Интернет». Также Министерство вправе отменить проведение отбора не позднее чем за 1 рабочий день до даты окончания срока приема заявок, указанного в объявлении. Установлены основания для принятия комиссией решения об отказе в предоставлении субсидии. Получатель субсидии обязан ежеквартально не позднее 10-го рабочего дня месяца, следующего за отчетным кварталом, размещать в системе «АЦК-Планирование» следующие отчеты: отчет о достижении значения результата предоставления субсидии; отчет об осуществлении затрат, источником финансового обеспечения которых является субсидия.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Ульяновской области от 05.05.2025 № 218-П «О признании утратившим силу отдельного положения постановления Правительства Ульяновской области от 06.06.2022 № 307-П»</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постановление «Об утверждении Правил предоставления муниципальным образованиям Ульяновской области бюджетных кредитов из областного бюджета Ульяновской области, их использования и возврата» внесены изменения.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Из условий предоставления бюджетного кредита муниципальному образованию исключено наличие у муниципального образования возможности привлечения в бюджет муниципального образования кредитов от кредитных организаций исключительно по ставкам на уровне, не превышающем уровень ключевой ставки, установленный Центральным банком Российской Федерации, увеличенный на 1 процент годовых.</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Постановление Правительства Ульяновской области от 06.05.2025 № 221-П «О внесении изменений в постановление Правительства </w:t>
            </w:r>
            <w:r>
              <w:rPr>
                <w:rFonts w:ascii="PT Astra Serif" w:eastAsiaTheme="minorHAnsi" w:hAnsi="PT Astra Serif" w:cs="PT Astra Serif"/>
                <w:bCs/>
                <w:iCs/>
                <w:sz w:val="24"/>
                <w:szCs w:val="24"/>
                <w:lang w:eastAsia="en-US"/>
              </w:rPr>
              <w:lastRenderedPageBreak/>
              <w:t>Ульяновской области от 11.02.2013 № 45-П»</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Внесены в Правила предоставления субвенций из областного бюджета Ульяновской области бюджетам городских округов и отдельных поселений Ульяновской области в целях финансового обеспечения осуществления отдельных государственных полномочий в сфере проведения на территории Ульяновской области публичных мероприятий, утвержденные постановлением Правительства Ульяновской области от </w:t>
            </w:r>
            <w:r>
              <w:rPr>
                <w:rFonts w:ascii="PT Astra Serif" w:eastAsiaTheme="minorHAnsi" w:hAnsi="PT Astra Serif" w:cs="PT Astra Serif"/>
                <w:sz w:val="24"/>
                <w:szCs w:val="24"/>
                <w:lang w:eastAsia="en-US"/>
              </w:rPr>
              <w:lastRenderedPageBreak/>
              <w:t>11.02.2013 № 45-П.</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Установлено, что местные администрации обеспечивают целевое и эффективное использование субвенций.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Остаток не использованных в текущем финансовом году субвенций подлежит возврату в областной бюджет Ульяновской области в течение первых 15 рабочих дней текущего финансового года.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Ульяновской области от 12.05.2025 № 224-П «О правовом регулировании отдельных вопросов, связанных с созданием и деятельностью межведомственной комиссии Ульяновской области по противодействию формированию просроченной задолженности по заработной плате и ее рабочих групп»</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Положением определен порядок создания и деятельности межведомственной комиссии Ульяновской области по противодействию формированию просроченной задолженности по заработной плате, которая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Ульяновской области, органов местного самоуправления муниципальных образований Ульяновской области, органов управления государственными внебюджетными фондами, а также профессиональных союзов, их объединений и работодателей, их объединений.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Положение установлен порядок создания и деятельности рабочих групп межведомственной комиссии Ульяновской области по противодействию формированию просроченной задолженности по заработной плате на территориях муниципальных образований Ульяновской области, являющихся неотъемлемой частью межведомственной комиссии Ульяновской области по формированию просроченной задолженности по заработной плате.</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Утвержден перечень муниципальных образований Ульяновской области, на территориях которых будут созданы рабочие группы межведомственной комиссии Ульяновской области по противодействию формированию просроченной задолженности по заработной плате.</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ascii="PT Astra Serif" w:eastAsiaTheme="minorHAnsi" w:hAnsi="PT Astra Serif"/>
                <w:sz w:val="24"/>
                <w:szCs w:val="24"/>
                <w:highlight w:val="yellow"/>
                <w:lang w:eastAsia="en-US"/>
              </w:rPr>
            </w:pPr>
            <w:r>
              <w:rPr>
                <w:rFonts w:ascii="PT Astra Serif" w:eastAsiaTheme="minorHAnsi" w:hAnsi="PT Astra Serif"/>
                <w:sz w:val="24"/>
                <w:szCs w:val="24"/>
                <w:lang w:eastAsia="en-US"/>
              </w:rPr>
              <w:t xml:space="preserve">Постановление Правительства Ульяновской области от 12.05.2025 № 228-П «О внесении изменений в постановление Правительства Ульяновской области от 15.09.2021 № 425-П» </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Постановление Правительства Ульяновской области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Ульяновской области» дополнено индикативными показателями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Ульяновской области.</w:t>
            </w:r>
          </w:p>
          <w:p w:rsidR="005457AC" w:rsidRDefault="005457AC" w:rsidP="005457AC">
            <w:pPr>
              <w:spacing w:line="240" w:lineRule="auto"/>
              <w:rPr>
                <w:rFonts w:ascii="PT Astra Serif" w:hAnsi="PT Astra Serif"/>
                <w:sz w:val="24"/>
                <w:szCs w:val="24"/>
              </w:rPr>
            </w:pPr>
            <w:r>
              <w:rPr>
                <w:rFonts w:ascii="PT Astra Serif" w:eastAsiaTheme="minorHAnsi" w:hAnsi="PT Astra Serif"/>
                <w:sz w:val="24"/>
                <w:szCs w:val="24"/>
                <w:lang w:eastAsia="en-US"/>
              </w:rPr>
              <w:lastRenderedPageBreak/>
              <w:t xml:space="preserve">Установлено, что плановые контрольные (надзорные) мероприятия в отношении объектов регионального контроля (надзора) не проводятся. Внеплановые контрольные (надзорные) мероприятия проводятся в виде документарных или выездных проверок. </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Ульяновской области от 12.05.2025 № 229-П «О внесении изменений в постановление Правительства Ульяновской области от 03.04.2020 № 154-П»</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Внесены изменения в Правила организации деятельности приютов для животных и нормы содержания животных в них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Предусмотрено, что вывоз биологических отходов и их уничтожение (утилизация) осуществляются регулярно специализированными организациями на договорной основе в соответствии с Ветеринарными правилами сбора, хранения, перемещения, утилизации и уничтожения биологических отходов, утвержденными приказом Министерства сельского хозяйства Российской Федерации от 11.11.2024 № 677 «Об утверждении Ветеринарных правил сбора, хранения, перемещения, утилизации и уничтожения биологических отходов».</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Скорректирована форма карточки учета животного (учетный документ, содержащий сведения о поступлении животного в приют и совершаемых с ним в приюте действиях). </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Ульяновской области от 12.05.2025 № 226-П</w:t>
            </w:r>
          </w:p>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«О внесении изменений в постановление Правительства Ульяновской области от 22.09.2021 № 442-П и о признании утратившими силу отдельных положений нормативных правовых актов Правительства Ульяновской области»</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Из Положения о региональном государственном контроле (надзоре) в области обращения с животными на территории Ульяновской области исключен раздел, определяющий учет рисков причинения вреда (ущерба) охраняемым законом ценностям при проведении контрольных (надзорных) мероприятий.</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Профилактический визит проводится по инициативе Агентства ветеринарии (обязательный профилактический визит) или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Постановление Правительства Ульяновской области от 09.12.2022 № 735-П «О внесении изменения в постановление Правительства Ульяновской области от 22.09.2021 № 442-П» признано утратившим силу.</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Правительства Ульяновской области от 15.05.2025 № 233-П «О внесении изменений в постановление Правительства Ульяновской области от 24.07.2014 № 318-П»</w:t>
            </w: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rPr>
                <w:rFonts w:ascii="PT Astra Serif" w:eastAsiaTheme="minorHAnsi" w:hAnsi="PT Astra Serif"/>
                <w:sz w:val="24"/>
                <w:szCs w:val="24"/>
                <w:lang w:eastAsia="en-US"/>
              </w:rPr>
            </w:pP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В Регламент осуществления Правительством Ульяновской области ведомственного контроля в сфере закупок для обеспечения государственных нужд Ульяновской области внесены изменения. В течение 10 рабочих дней со дня завершения проведения мероприятия ведомственного контроля должностное лицо, уполномоченное на проведение ведомственного контроля, составляет, подписывает и представляет Председателю Правительства акт проверки. В случае несогласия с фактами и выводами, содержащимися в акте проверки, руководитель заказчика или уполномоченный </w:t>
            </w:r>
            <w:r>
              <w:rPr>
                <w:rFonts w:ascii="PT Astra Serif" w:eastAsiaTheme="minorHAnsi" w:hAnsi="PT Astra Serif" w:cs="PT Astra Serif"/>
                <w:sz w:val="24"/>
                <w:szCs w:val="24"/>
                <w:lang w:eastAsia="en-US"/>
              </w:rPr>
              <w:lastRenderedPageBreak/>
              <w:t>представитель заказчика в течение 5 рабочих дней со дня получения акта проверки вправе представить в письменной форме возражения на акт проверки в целом или в его части. При этом, если обоснованность возражений может быть подтверждена документально, к ним должны быть приложены документы, подтверждающие обоснованность возражений, либо их копии, заверенные руководителем заказчика или уполномоченным представителем заказчика. Возражения приобщаются к материалам проверки не позднее первого рабочего дня, следующего за днем их получения.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случае выявления в ходе проведения мероприятий ведомственного контроля нарушений должностными лицами, уполномоченными на его проведение, разрабатывается и утверждается план устранения выявленных нарушений. Если заказчиком были представлены возражения, должностное лицо, уполномоченное на проведение ведомственного контроля, в процессе подготовки плана устранения выявленных нарушений рассматривает возражения с участием представителя заказчика и принимает решение об удовлетворении возражений полностью или в части либо решение об отказе в удовлетворении возражений. В случае принятия должностным лицом, уполномоченным на проведение ведомственного контроля, решения об удовлетворении возражений полностью или в части в акт проверки не позднее первого рабочего дня, следующего за днем принятия данного решения, вносятся соответствующие изменения. В случае принятия должностным лицом, уполномоченным на проведение ведомственного контроля, решения об отказе в удовлетворении возражений к плану устранения выявленных нарушений приобщается мотивированный отказ, содержащий основание для принятия такого решения.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 случае выявления при проведении мероприятия ведомственного контроля действий (бездействия) заказчика, содержащих признаки административного правонарушения, материалы проверки не позднее 30 календарных дней со дня направления копии акта проверки заказчику подлежат направлению Правительством в федеральный орган исполнительной власти или исполнительный орган Ульяновской области,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заказчика, содержащих признаки состава преступления, - в этот же срок в правоохранительные органы.</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Постановление Правительства Ульяновской области от </w:t>
            </w:r>
            <w:r>
              <w:rPr>
                <w:rFonts w:ascii="PT Astra Serif" w:eastAsiaTheme="minorHAnsi" w:hAnsi="PT Astra Serif" w:cs="PT Astra Serif"/>
                <w:bCs/>
                <w:iCs/>
                <w:sz w:val="24"/>
                <w:szCs w:val="24"/>
                <w:lang w:eastAsia="en-US"/>
              </w:rPr>
              <w:lastRenderedPageBreak/>
              <w:t>16.05.2025 № 235-П «О внесении изменений в постановление Правительства Ульяновской области от 08.04.2024 № 159-П»</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Внесены изменения в Положение о порядке организации тушения отдельных ландшафтных (природных) пожаров силами и средствами единой государственной </w:t>
            </w:r>
            <w:r>
              <w:rPr>
                <w:rFonts w:ascii="PT Astra Serif" w:eastAsiaTheme="minorHAnsi" w:hAnsi="PT Astra Serif" w:cs="PT Astra Serif"/>
                <w:sz w:val="24"/>
                <w:szCs w:val="24"/>
                <w:lang w:eastAsia="en-US"/>
              </w:rPr>
              <w:lastRenderedPageBreak/>
              <w:t>системы предупреждения и ликвидации чрезвычайных ситуаций, расположенными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Предусмотрено, что региональный план тушения ландшафтных пожаров силами и средствами Ульяновской территориальной подсистемы единой государственной системы предупреждения и ликвидации чрезвычайных ситуаций (далее - УТП РСЧС) разрабатывается не позднее 20 марта текущего года на следующий календарный год и утверждается Губернатором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Региональный план должен содержать:</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порядок привлечения сил и средств УТП РСЧС при установлении муниципального и регионального уровней реагирования на ландшафтные пожары;</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состав сил и средств УТП РСЧС, привлекаемых при установлении муниципального и регионального уровней реагирования на ландшафтные пожары.</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Ульяновской области от 20.05.2025 №  239-П  "О внесении изменений в постановление Правительства Ульяновской области от 29.09.2021 №  448-П и о признании утратившим силу отдельного положения постановления Правительства Ульяновской области от 27.04.2023 №  191-П"</w:t>
            </w: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jc w:val="both"/>
              <w:rPr>
                <w:rFonts w:ascii="PT Astra Serif" w:eastAsiaTheme="minorHAnsi" w:hAnsi="PT Astra Serif"/>
                <w:sz w:val="24"/>
                <w:szCs w:val="24"/>
                <w:lang w:eastAsia="en-US"/>
              </w:rPr>
            </w:pPr>
          </w:p>
          <w:p w:rsidR="005457AC" w:rsidRDefault="005457AC" w:rsidP="005457AC">
            <w:pPr>
              <w:spacing w:after="0" w:line="240" w:lineRule="auto"/>
              <w:rPr>
                <w:rFonts w:ascii="PT Astra Serif" w:eastAsiaTheme="minorHAnsi" w:hAnsi="PT Astra Serif"/>
                <w:sz w:val="24"/>
                <w:szCs w:val="24"/>
                <w:lang w:eastAsia="en-US"/>
              </w:rPr>
            </w:pP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lastRenderedPageBreak/>
              <w:t xml:space="preserve">Внесены изменения в Положение о региональном государственном контроле (надзоре) за приемом на работу инвалидов в пределах установленной квоты. Индикаторы риска нарушения обязательных требований в области квотирования рабочих мест дополнены наличием в течение 6 месяцев текущего года у контролируемого лица свободного рабочего места, выделенного в счет установленной квоты, при условии неоднократного (не менее трех раз) направления органами службы занятости населения инвалида с целью его трудоустройства на такое свободное рабочее место в указанный период.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изложен в новой редакции. Утверждено, что обязательный профилактический визит проводится: в отношении контролируемых лиц, осуществляемой ими деятельности, отнесенной к определенной категории риска, с учетом периодичности проведения обязательных профилактических мероприятий; в отношении контролируемых лиц, представивших уведомление о начале осуществления отдельных видов предпринимательской деятельности, не позднее 6 месяцев с даты представления такого уведомления; по поручению Президента РФ, Председателя Правительства РФ или Губернатора Ульяновской области.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Перечнем определены виды предпринимательской деятельности, в отношении которых представляются уведомления о начале осуществления отдельных </w:t>
            </w:r>
            <w:r>
              <w:rPr>
                <w:rFonts w:ascii="PT Astra Serif" w:eastAsiaTheme="minorHAnsi" w:hAnsi="PT Astra Serif"/>
                <w:sz w:val="24"/>
                <w:szCs w:val="24"/>
                <w:lang w:eastAsia="en-US"/>
              </w:rPr>
              <w:lastRenderedPageBreak/>
              <w:t xml:space="preserve">видов предпринимательской деятельности                        </w:t>
            </w:r>
          </w:p>
        </w:tc>
      </w:tr>
      <w:tr w:rsidR="005457AC" w:rsidTr="005457AC">
        <w:tc>
          <w:tcPr>
            <w:tcW w:w="696" w:type="dxa"/>
            <w:tcBorders>
              <w:top w:val="nil"/>
            </w:tcBorders>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Borders>
              <w:top w:val="nil"/>
            </w:tcBorders>
          </w:tcPr>
          <w:p w:rsidR="005457AC" w:rsidRDefault="005457AC" w:rsidP="005457AC">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Ульяновской области от 22.05.2025 №  241-П «О внесении изменений в постановление Правительства Ульяновской области от 25.12.2023 №  729-П и о признании утратившими силу отдельных положений постановления Правительства Ульяновской области от 04.09.2024 №  517-П"</w:t>
            </w:r>
          </w:p>
        </w:tc>
        <w:tc>
          <w:tcPr>
            <w:tcW w:w="9355" w:type="dxa"/>
            <w:tcBorders>
              <w:top w:val="nil"/>
            </w:tcBorders>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Внесены изменения в постановление Правительства Ульяновской области от 25.12.2023 №  729-П «Об утверждении Правил оказания государственной социальной помощи на основании социального контракта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 xml:space="preserve">В приоритетном порядке социальный контракт заключается с гражданами, проживающими в многодетных семьях, семьях, имеющих детей,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 Уточнены и дополнены обстоятельства, при которых оказывается государственная социальная помощь на основании социального контракта в случае, если программа социальной адаптации предусматривает реализацию мероприятий, в частности: отсутствие вакантных рабочих мест для трудоустройства гражданина (члена его семьи) в сельских населенных пунктах, рабочих поселках и поселках городского типа на территории Ульяновской области, подтвержденное органом службы занятости населения; нахождение на лечении или реабилитации одного или нескольких трудоспособных членов семьи гражданина от алкогольной или наркотической зависимости, подтвержденное документом из медицинской организации или специализированного реабилитационного центра. Основаниями для отказа в назначении государственной социальной помощи на основании социального контракта дополнены отказом заявителя от прохождения тестирования для определения уровня предпринимательских компетенций при оказании государственной социальной помощи на основании социального контракта; согласованным мнением межведомственной комиссии о неодобрении социального контракта, программы социальной адаптации и прилагаемых к ней документов (сведений), бизнес-плана или плана ведения личного подсобного хозяйства. Установлено, что решение о прекращении предоставления государственной социальной помощи на основании социального контракта принимается уполномоченным органом также в случаях: прекращения государственной регистрации в качестве </w:t>
            </w:r>
            <w:r>
              <w:rPr>
                <w:rFonts w:ascii="PT Astra Serif" w:eastAsiaTheme="minorHAnsi" w:hAnsi="PT Astra Serif"/>
                <w:sz w:val="24"/>
                <w:szCs w:val="24"/>
                <w:lang w:eastAsia="en-US"/>
              </w:rPr>
              <w:lastRenderedPageBreak/>
              <w:t>индивидуального предпринимателя либо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 выявления по состоянию на дату подачи заявления наличия оснований для отказа в назначении государственной социальной помощи на основании социального контракта; неподписания социального контракта заявителем в срок; расторжения социального контракта в одностороннем порядке по инициативе получателя.</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pStyle w:val="ac"/>
              <w:spacing w:after="0"/>
              <w:jc w:val="both"/>
              <w:rPr>
                <w:rFonts w:ascii="PT Astra Serif" w:hAnsi="PT Astra Serif"/>
                <w:lang w:eastAsia="en-US"/>
              </w:rPr>
            </w:pPr>
            <w:r>
              <w:rPr>
                <w:rFonts w:ascii="PT Astra Serif" w:eastAsiaTheme="minorHAnsi" w:hAnsi="PT Astra Serif"/>
                <w:lang w:eastAsia="en-US"/>
              </w:rPr>
              <w:t>Приказ Министерства жилищно-коммунального хозяйства и строительства Ульяновской области от 28.04.2025 № 17-П «Об утверждении Правил установления необходимости (отсутствия необходимости) проведения капитального ремонта общего имущества в многоквартирных домах, расположенных на территории Ульяновской области, и перечня сведений, необходимых для принятия решения 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Правилами определен порядок установления необходимости (отсутствия необходимости) проведения капитального ремонта общего имущества в многоквартирных домах, расположенных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К случаям установления необходимости (отсутствия необходимости) проведения капитального ремонта общего имущества в многоквартирных домах, расположенных на территории Ульяновской области, в частности, относится принятие решения о необходимости проведения капитального ремонта общего имущества в многоквартирном доме в более ранние (поздние) сроки по отношению к срокам, установленным региональной программой, а также внесения изменений в краткосрочный план реализации региональной программы и др.</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Решение принимается комиссией, образованной соответствующим органом местного самоуправления.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Приведен перечень сведений, необходимых для принятия решения 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Приказ Министерства промышленности, строительства, жилищно-коммунального комплекса и транспорта Ульяновской области от 28.08.2017 № 32-од «О утверждении Порядка установления необходимости проведения капитального ремонта общего имущества в многоквартирных домах, расположенных на территории Ульяновской области» со всеми изменениями признан утратившим силу.</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Приказ Министерства просвещения и воспитания Ульяновской области от 06.05.2025 № 6 «О размере и </w:t>
            </w:r>
            <w:r>
              <w:rPr>
                <w:rFonts w:ascii="PT Astra Serif" w:eastAsiaTheme="minorHAnsi" w:hAnsi="PT Astra Serif" w:cs="PT Astra Serif"/>
                <w:bCs/>
                <w:iCs/>
                <w:sz w:val="24"/>
                <w:szCs w:val="24"/>
                <w:lang w:eastAsia="en-US"/>
              </w:rPr>
              <w:lastRenderedPageBreak/>
              <w:t>порядке выплаты за счет бюджетных ассигнований областного бюджета Ульяновской области лицам, участвующим в проведении регионального этапа всероссийской олимпиады школьников, а также лицам, участвующим в разработке комплекта олимпиадных заданий по соответствующему общеобразовательному предмету для муниципального этапа всероссийской олимпиады школьников, из числа лиц, входящих в состав региональных предметно-методических комиссий, и лицам, участвующим в перепроверке выполненных олимпиадных работ участников муниципального этапа всероссийской олимпиады школьников»</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lastRenderedPageBreak/>
              <w:t xml:space="preserve">Установлены размеры выплаты лицам, участвующим в проведении регионального этапа всероссийской олимпиады школьников, а также лицам, участвующим в разработке комплекта олимпиадных заданий по соответствующему общеобразовательному предмету для муниципального этапа всероссийской олимпиады школьников, из числа </w:t>
            </w:r>
            <w:r>
              <w:rPr>
                <w:rFonts w:ascii="PT Astra Serif" w:eastAsiaTheme="minorHAnsi" w:hAnsi="PT Astra Serif" w:cs="PT Astra Serif"/>
                <w:sz w:val="24"/>
                <w:szCs w:val="24"/>
                <w:lang w:eastAsia="en-US"/>
              </w:rPr>
              <w:lastRenderedPageBreak/>
              <w:t>лиц, входящих в состав региональных предметно-методических комиссий, и лицам, участвующим в перепроверке выполненных олимпиадных работ участников МЭ ВсОШ.</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Правилами установлен порядок осуществления выплаты лицам, участвующим в проведении регионального этапа всероссийской олимпиады школьников, а также лицам, участвующим в разработке комплекта олимпиадных заданий по соответствующему общеобразовательному предмету для муниципального этапа всероссийской олимпиады школьников, из числа лиц, входящих в состав региональных предметно-методических комиссий, и лицам, участвующим в перепроверке выполненных олимпиадных работ участников в рабочее время и освобожденным от основной работы на период проведения РЭ ВсОШ и МЭ ВсОШ, за счет бюджетных ассигнований областного бюджета Ульяновской области, выделяемых на указанные цели.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Бюджетные ассигнования областного бюджета Ульяновской области на выплату лицам, участвующим в МЭ и РЭ ВсОШ, ежегодно предусматриваются в областном бюджете Ульяновской области главному распорядителю бюджетных средств - Министерству и расходуются в соответствии со сводной бюджетной росписью областного бюджета Ульяновской области в пределах лимитов бюджетных обязательств, предусмотренных Министерству на указанные цели.</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lastRenderedPageBreak/>
              <w:t>«</w:t>
            </w: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Минфина Ульяновской области от 21.05.2025 № 42-пр «О внесении изменений в приказ Министерства финансов Ульяновской области от 31.05.2022 № 41-пр»</w:t>
            </w:r>
          </w:p>
          <w:p w:rsidR="005457AC" w:rsidRDefault="005457AC" w:rsidP="005457AC">
            <w:pPr>
              <w:spacing w:after="0" w:line="240" w:lineRule="auto"/>
              <w:rPr>
                <w:rFonts w:ascii="PT Astra Serif" w:eastAsiaTheme="minorHAnsi" w:hAnsi="PT Astra Serif"/>
                <w:sz w:val="24"/>
                <w:szCs w:val="24"/>
                <w:lang w:eastAsia="en-US"/>
              </w:rPr>
            </w:pP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 xml:space="preserve">Внесены изменения в Порядок учета бюджетных и денежных обязательств получателей средств областного бюджета Ульяновской области. Дополнено, что основанием для постановки на учет бюджетного обязательства является также информация о государственном контракте (договоре) на поставку товаров, выполнение работ, оказание услуг, содержащего сведения, составляющие государственную тайну. Информация о договорах (соглашениях) подлежит регистрации главным распорядителем средств бюджета Ульяновской области в государственной информационной системе Ульяновской области «АЦК-Планирование» посредством формирования электронного документа «Соглашение о порядке предоставления субсидии» и в электронном виде </w:t>
            </w:r>
            <w:r>
              <w:rPr>
                <w:rFonts w:ascii="PT Astra Serif" w:eastAsiaTheme="minorHAnsi" w:hAnsi="PT Astra Serif" w:cs="PT Astra Serif"/>
                <w:sz w:val="24"/>
                <w:szCs w:val="24"/>
                <w:lang w:eastAsia="en-US"/>
              </w:rPr>
              <w:lastRenderedPageBreak/>
              <w:t>передается в «АЦК-Финансы».</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Приказ Министерства просвещения и воспитания Ульяновской области от 26.05.2025 № 7 «О внесении изменений в приказ Министерства образования и науки Ульяновской области от 17.04.2020 № 9»</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Внесены изменения в Положение о порядке формирования и ведения реестра организаций отдыха детей и их оздоровления на территории Ульяновской области.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sz w:val="24"/>
                <w:szCs w:val="24"/>
                <w:lang w:eastAsia="en-US"/>
              </w:rPr>
              <w:t>Установлено, что Министерство просвещения и воспитания размещает данный Реестр также в федеральной государственной информационной системе "Единая система нормативной справочной информации". Дополнено, что организации отдыха детей и их оздоровления для включения в Реестр представляют в уполномоченную организацию также копию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заверенные в установленном порядке.</w:t>
            </w:r>
          </w:p>
        </w:tc>
      </w:tr>
      <w:tr w:rsidR="005457AC" w:rsidTr="005457AC">
        <w:tc>
          <w:tcPr>
            <w:tcW w:w="13575" w:type="dxa"/>
            <w:gridSpan w:val="3"/>
          </w:tcPr>
          <w:p w:rsidR="005457AC" w:rsidRDefault="005457AC" w:rsidP="005457AC">
            <w:pPr>
              <w:spacing w:after="0" w:line="240" w:lineRule="auto"/>
              <w:jc w:val="center"/>
              <w:rPr>
                <w:rFonts w:ascii="PT Astra Serif" w:eastAsiaTheme="minorHAnsi" w:hAnsi="PT Astra Serif"/>
                <w:sz w:val="24"/>
                <w:szCs w:val="24"/>
                <w:lang w:eastAsia="en-US"/>
              </w:rPr>
            </w:pPr>
            <w:r>
              <w:rPr>
                <w:rFonts w:ascii="PT Astra Serif" w:eastAsiaTheme="minorHAnsi" w:hAnsi="PT Astra Serif"/>
                <w:b/>
                <w:sz w:val="24"/>
                <w:szCs w:val="24"/>
                <w:lang w:eastAsia="en-US"/>
              </w:rPr>
              <w:t>Раздел 3. Правоприменительная практика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Конституционного Суда РФ от 23.05.2025 № 21-П «По делу о проверке конституционности части 2 статьи 1, статей 86 и 87 и части 1 статьи 89 Жилищного кодекса Российской Федерации, а также частей первой и второй статьи 1 и абзацев второго и четвертого статьи 2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 связи с жалобой граждан И.В. Федониной и Ю.В. Федониной»</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Конституционный Суд проверил конституционность положений Жилищного кодекса, предполагающих возможность понуждения гражданина к заключению договора социального найма в связи с выселением из аварийного жилья.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 xml:space="preserve">Статья 86 и часть 1 статьи 89 Жилищного кодекса РФ признаны не противоречащими Конституции Российской Федерации. Конституционный Суд отметил, что в системе действующего правового регулирования эти нормативные положения предполагают, что понуждение к заключению договора социального найма предложенного уполномоченным органом благоустроенного, находящегося в том же населенном пункте равнозначного жилого помещения допускается лишь в случаях, если дальнейшее проживание в фактически занимаемом гражданином жилом помещении, которое находится в аварийном доме, подлежащем сносу, угрожает жизни такого гражданина (совместно проживающих с ним лиц) или порождает реальные риски причинения существенного вреда здоровью такого гражданина (совместно проживающих с ним лиц), либо если отложение сноса здания, в котором продолжают проживать и (или) сохраняют регистрацию по месту жительства соответствующие граждане, создает угрозу для жизни, здоровья и безопасности других граждан или существенным образом для публичных интересов и единственным препятствием для сноса является указанное проживание (сохранение регистрации), либо если установлена недобросовестность гражданина в ситуации, когда он проживал в ином месте (тем более длительное время, в том числе когда предпосылкой для этого могли быть действия органа публичной </w:t>
            </w:r>
            <w:r>
              <w:rPr>
                <w:rFonts w:ascii="PT Astra Serif" w:eastAsiaTheme="minorHAnsi" w:hAnsi="PT Astra Serif" w:cs="PT Astra Serif"/>
                <w:bCs/>
                <w:iCs/>
                <w:sz w:val="24"/>
                <w:szCs w:val="24"/>
                <w:lang w:eastAsia="en-US"/>
              </w:rPr>
              <w:lastRenderedPageBreak/>
              <w:t>власти), а в последующем немотивированно или по мотивам, не имеющим правовых оснований, отказывался от предоставляемого ему для проживания помещения, равнозначного ранее занимаемому непригодному для постоянного проживания.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При этом на основании соглашения уполномоченного органа и гражданина в качестве альтернативы понуждению к заключению договора социального найма в указанных случаях до решения вопроса об определении будущего места жительства гражданина допускается его вселение в жилое помещение маневренного фонда с сохранением за уполномоченным органом обязанности предоставить жилое помещение по договору социального найма.</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Сохранение за уполномоченным органом такой обязанности, в случае если не будут установлены указанные основания к понуждению к заключению договора социального найма либо будет осуществлено вселение гражданина в жилое помещение маневренного фонда, не препятствует предоставлению жилых помещений иным нуждающимся в них гражданам в порядке очередности или в последовательности возникновения права на их предоставление вне очереди, а также применению разумных временных интервалов для предложения этому гражданину иного жилого помещения по договору социального найма.</w:t>
            </w:r>
          </w:p>
        </w:tc>
      </w:tr>
      <w:tr w:rsidR="005457AC" w:rsidTr="005457AC">
        <w:tc>
          <w:tcPr>
            <w:tcW w:w="696" w:type="dxa"/>
          </w:tcPr>
          <w:p w:rsidR="005457AC" w:rsidRDefault="005457AC" w:rsidP="005457AC">
            <w:pPr>
              <w:pStyle w:val="aa"/>
              <w:numPr>
                <w:ilvl w:val="0"/>
                <w:numId w:val="1"/>
              </w:numPr>
              <w:tabs>
                <w:tab w:val="left" w:pos="165"/>
              </w:tabs>
              <w:spacing w:after="0" w:line="240" w:lineRule="auto"/>
              <w:jc w:val="both"/>
              <w:rPr>
                <w:rFonts w:ascii="PT Astra Serif" w:eastAsiaTheme="minorHAnsi" w:hAnsi="PT Astra Serif"/>
                <w:sz w:val="24"/>
                <w:szCs w:val="24"/>
                <w:lang w:eastAsia="en-US"/>
              </w:rPr>
            </w:pPr>
          </w:p>
        </w:tc>
        <w:tc>
          <w:tcPr>
            <w:tcW w:w="3524"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Постановление Конституционного Суда РФ от 26.05.2025 № 22-П «По делу о проверке конституционности пунктов 1 и 2 статьи 302 Гражданского кодекса Российской Федерации в связи с жалобой гражданки Т.В. Панкратовой»</w:t>
            </w:r>
          </w:p>
        </w:tc>
        <w:tc>
          <w:tcPr>
            <w:tcW w:w="9355" w:type="dxa"/>
          </w:tcPr>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Пренебрежение требованиями разумности и осмотрительности со стороны публично-правового образования в лице компетентных органов не должно влиять на имущественные и неимущественные права граждан.</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Не противоречащим Конституции РФ признан пункт 1 статьи 302 ГК РФ в той мере, в какой он по своему конституционно-правовому смыслу в системе действующего правового регулирования не предполагает признания жилого помещения выбывшим из владения публично-правового образования помимо его воли для целей истребования у добросовестного приобретателя, если судом при разрешении вопроса о таком истребовании будет установлено, что уполномоченные органы (должностные лица) этого публично-правового образования совершали действия (принимали правовые акты), предусматривающие передачу жилого помещения частному лицу (гражданину), даже признанные в дальнейшем незаконными.</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t>Конституционный Суд, в частности, указал, что факт государственной регистрации прав гражданина на недвижимое имущество, переданное ему публичным собственником, можно рассматривать как презюмирующий наличие воли последнего на выбытие из его владения жилого помещения.</w:t>
            </w:r>
          </w:p>
          <w:p w:rsidR="005457AC" w:rsidRDefault="005457AC" w:rsidP="005457AC">
            <w:pPr>
              <w:spacing w:after="0" w:line="240" w:lineRule="auto"/>
              <w:jc w:val="both"/>
              <w:rPr>
                <w:rFonts w:ascii="PT Astra Serif" w:eastAsiaTheme="minorHAnsi" w:hAnsi="PT Astra Serif"/>
                <w:sz w:val="24"/>
                <w:szCs w:val="24"/>
                <w:lang w:eastAsia="en-US"/>
              </w:rPr>
            </w:pPr>
            <w:r>
              <w:rPr>
                <w:rFonts w:ascii="PT Astra Serif" w:eastAsiaTheme="minorHAnsi" w:hAnsi="PT Astra Serif" w:cs="PT Astra Serif"/>
                <w:bCs/>
                <w:iCs/>
                <w:sz w:val="24"/>
                <w:szCs w:val="24"/>
                <w:lang w:eastAsia="en-US"/>
              </w:rPr>
              <w:lastRenderedPageBreak/>
              <w:t>При этом сказанное не относится к ситуации, когда незаконное отчуждение жилого помещения (формирование оснований для включения в состав сведений ЕГРН записи о праве) связано, в частности, со сговором гражданина, которому предоставляется жилое помещение, и должностного лица при заведомом для них отсутствии законных оснований для предоставления имущества гражданину, что во всяком случае не должно затрагивать права добросовестного приобретателя соответствующего жилого помещения.</w:t>
            </w:r>
          </w:p>
        </w:tc>
      </w:tr>
    </w:tbl>
    <w:p w:rsidR="00005A95" w:rsidRDefault="00005A95" w:rsidP="005457AC">
      <w:pPr>
        <w:spacing w:after="0" w:line="240" w:lineRule="auto"/>
        <w:rPr>
          <w:rFonts w:ascii="PT Astra Serif" w:hAnsi="PT Astra Serif"/>
          <w:sz w:val="24"/>
          <w:szCs w:val="24"/>
        </w:rPr>
      </w:pPr>
    </w:p>
    <w:sectPr w:rsidR="00005A95" w:rsidSect="00005A95">
      <w:headerReference w:type="default" r:id="rId7"/>
      <w:pgSz w:w="16838" w:h="11906" w:orient="landscape"/>
      <w:pgMar w:top="1701" w:right="1134" w:bottom="850" w:left="1134"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C04" w:rsidRDefault="00A96C04" w:rsidP="00005A95">
      <w:pPr>
        <w:spacing w:after="0" w:line="240" w:lineRule="auto"/>
      </w:pPr>
      <w:r>
        <w:separator/>
      </w:r>
    </w:p>
  </w:endnote>
  <w:endnote w:type="continuationSeparator" w:id="1">
    <w:p w:rsidR="00A96C04" w:rsidRDefault="00A96C04" w:rsidP="0000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C04" w:rsidRDefault="00A96C04" w:rsidP="00005A95">
      <w:pPr>
        <w:spacing w:after="0" w:line="240" w:lineRule="auto"/>
      </w:pPr>
      <w:r>
        <w:separator/>
      </w:r>
    </w:p>
  </w:footnote>
  <w:footnote w:type="continuationSeparator" w:id="1">
    <w:p w:rsidR="00A96C04" w:rsidRDefault="00A96C04" w:rsidP="00005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5316"/>
      <w:docPartObj>
        <w:docPartGallery w:val="Page Numbers (Top of Page)"/>
        <w:docPartUnique/>
      </w:docPartObj>
    </w:sdtPr>
    <w:sdtContent>
      <w:p w:rsidR="00005A95" w:rsidRDefault="00005A95">
        <w:pPr>
          <w:pStyle w:val="Header"/>
          <w:jc w:val="center"/>
        </w:pPr>
        <w:r>
          <w:rPr>
            <w:rFonts w:ascii="PT Astra Serif" w:hAnsi="PT Astra Serif"/>
            <w:sz w:val="24"/>
            <w:szCs w:val="24"/>
          </w:rPr>
          <w:fldChar w:fldCharType="begin"/>
        </w:r>
        <w:r w:rsidR="00A96C04">
          <w:rPr>
            <w:rFonts w:ascii="PT Astra Serif" w:hAnsi="PT Astra Serif"/>
            <w:sz w:val="24"/>
            <w:szCs w:val="24"/>
          </w:rPr>
          <w:instrText>PAGE</w:instrText>
        </w:r>
        <w:r>
          <w:rPr>
            <w:rFonts w:ascii="PT Astra Serif" w:hAnsi="PT Astra Serif"/>
            <w:sz w:val="24"/>
            <w:szCs w:val="24"/>
          </w:rPr>
          <w:fldChar w:fldCharType="separate"/>
        </w:r>
        <w:r w:rsidR="00FE14BF">
          <w:rPr>
            <w:rFonts w:ascii="PT Astra Serif" w:hAnsi="PT Astra Serif"/>
            <w:noProof/>
            <w:sz w:val="24"/>
            <w:szCs w:val="24"/>
          </w:rPr>
          <w:t>37</w:t>
        </w:r>
        <w:r>
          <w:rPr>
            <w:rFonts w:ascii="PT Astra Serif" w:hAnsi="PT Astra Serif"/>
            <w:sz w:val="24"/>
            <w:szCs w:val="24"/>
          </w:rPr>
          <w:fldChar w:fldCharType="end"/>
        </w:r>
      </w:p>
    </w:sdtContent>
  </w:sdt>
  <w:p w:rsidR="00005A95" w:rsidRDefault="00005A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3016F"/>
    <w:multiLevelType w:val="multilevel"/>
    <w:tmpl w:val="6464EB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A041162"/>
    <w:multiLevelType w:val="multilevel"/>
    <w:tmpl w:val="2E7CBFB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characterSpacingControl w:val="doNotCompress"/>
  <w:footnotePr>
    <w:footnote w:id="0"/>
    <w:footnote w:id="1"/>
  </w:footnotePr>
  <w:endnotePr>
    <w:endnote w:id="0"/>
    <w:endnote w:id="1"/>
  </w:endnotePr>
  <w:compat>
    <w:useFELayout/>
  </w:compat>
  <w:rsids>
    <w:rsidRoot w:val="00005A95"/>
    <w:rsid w:val="00005A95"/>
    <w:rsid w:val="005457AC"/>
    <w:rsid w:val="00A96C04"/>
    <w:rsid w:val="00E36A26"/>
    <w:rsid w:val="00FE1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332B7"/>
  </w:style>
  <w:style w:type="character" w:customStyle="1" w:styleId="a4">
    <w:name w:val="Нижний колонтитул Знак"/>
    <w:basedOn w:val="a0"/>
    <w:uiPriority w:val="99"/>
    <w:semiHidden/>
    <w:qFormat/>
    <w:rsid w:val="008332B7"/>
  </w:style>
  <w:style w:type="character" w:customStyle="1" w:styleId="-">
    <w:name w:val="Интернет-ссылка"/>
    <w:basedOn w:val="a0"/>
    <w:uiPriority w:val="99"/>
    <w:semiHidden/>
    <w:unhideWhenUsed/>
    <w:rsid w:val="00170B30"/>
    <w:rPr>
      <w:color w:val="0000FF"/>
      <w:u w:val="single"/>
    </w:rPr>
  </w:style>
  <w:style w:type="character" w:styleId="a5">
    <w:name w:val="Strong"/>
    <w:basedOn w:val="a0"/>
    <w:uiPriority w:val="22"/>
    <w:qFormat/>
    <w:rsid w:val="00170B30"/>
    <w:rPr>
      <w:b/>
      <w:bCs/>
    </w:rPr>
  </w:style>
  <w:style w:type="paragraph" w:customStyle="1" w:styleId="a6">
    <w:name w:val="Заголовок"/>
    <w:basedOn w:val="a"/>
    <w:next w:val="a7"/>
    <w:qFormat/>
    <w:rsid w:val="004939E4"/>
    <w:pPr>
      <w:keepNext/>
      <w:spacing w:before="240" w:after="120"/>
    </w:pPr>
    <w:rPr>
      <w:rFonts w:ascii="PT Astra Serif" w:eastAsia="Tahoma" w:hAnsi="PT Astra Serif" w:cs="Noto Sans Devanagari"/>
      <w:sz w:val="28"/>
      <w:szCs w:val="28"/>
    </w:rPr>
  </w:style>
  <w:style w:type="paragraph" w:styleId="a7">
    <w:name w:val="Body Text"/>
    <w:basedOn w:val="a"/>
    <w:rsid w:val="004939E4"/>
    <w:pPr>
      <w:spacing w:after="140"/>
    </w:pPr>
  </w:style>
  <w:style w:type="paragraph" w:styleId="a8">
    <w:name w:val="List"/>
    <w:basedOn w:val="a7"/>
    <w:rsid w:val="004939E4"/>
    <w:rPr>
      <w:rFonts w:ascii="PT Astra Serif" w:hAnsi="PT Astra Serif" w:cs="Noto Sans Devanagari"/>
    </w:rPr>
  </w:style>
  <w:style w:type="paragraph" w:customStyle="1" w:styleId="Caption">
    <w:name w:val="Caption"/>
    <w:basedOn w:val="a"/>
    <w:qFormat/>
    <w:rsid w:val="004939E4"/>
    <w:pPr>
      <w:suppressLineNumbers/>
      <w:spacing w:before="120" w:after="120"/>
    </w:pPr>
    <w:rPr>
      <w:rFonts w:ascii="PT Astra Serif" w:hAnsi="PT Astra Serif" w:cs="Noto Sans Devanagari"/>
      <w:i/>
      <w:iCs/>
      <w:sz w:val="24"/>
      <w:szCs w:val="24"/>
    </w:rPr>
  </w:style>
  <w:style w:type="paragraph" w:styleId="a9">
    <w:name w:val="index heading"/>
    <w:basedOn w:val="a"/>
    <w:qFormat/>
    <w:rsid w:val="004939E4"/>
    <w:pPr>
      <w:suppressLineNumbers/>
    </w:pPr>
    <w:rPr>
      <w:rFonts w:ascii="PT Astra Serif" w:hAnsi="PT Astra Serif" w:cs="Noto Sans Devanagari"/>
    </w:rPr>
  </w:style>
  <w:style w:type="paragraph" w:styleId="aa">
    <w:name w:val="List Paragraph"/>
    <w:basedOn w:val="a"/>
    <w:uiPriority w:val="34"/>
    <w:qFormat/>
    <w:rsid w:val="0070286B"/>
    <w:pPr>
      <w:ind w:left="720"/>
      <w:contextualSpacing/>
    </w:pPr>
  </w:style>
  <w:style w:type="paragraph" w:customStyle="1" w:styleId="ab">
    <w:name w:val="Верхний и нижний колонтитулы"/>
    <w:basedOn w:val="a"/>
    <w:qFormat/>
    <w:rsid w:val="004939E4"/>
  </w:style>
  <w:style w:type="paragraph" w:customStyle="1" w:styleId="Header">
    <w:name w:val="Header"/>
    <w:basedOn w:val="a"/>
    <w:uiPriority w:val="99"/>
    <w:unhideWhenUsed/>
    <w:rsid w:val="008332B7"/>
    <w:pPr>
      <w:tabs>
        <w:tab w:val="center" w:pos="4677"/>
        <w:tab w:val="right" w:pos="9355"/>
      </w:tabs>
      <w:spacing w:after="0" w:line="240" w:lineRule="auto"/>
    </w:pPr>
  </w:style>
  <w:style w:type="paragraph" w:customStyle="1" w:styleId="Footer">
    <w:name w:val="Footer"/>
    <w:basedOn w:val="a"/>
    <w:uiPriority w:val="99"/>
    <w:semiHidden/>
    <w:unhideWhenUsed/>
    <w:rsid w:val="008332B7"/>
    <w:pPr>
      <w:tabs>
        <w:tab w:val="center" w:pos="4677"/>
        <w:tab w:val="right" w:pos="9355"/>
      </w:tabs>
      <w:spacing w:after="0" w:line="240" w:lineRule="auto"/>
    </w:pPr>
  </w:style>
  <w:style w:type="paragraph" w:customStyle="1" w:styleId="doclink">
    <w:name w:val="doc_link"/>
    <w:basedOn w:val="a"/>
    <w:qFormat/>
    <w:rsid w:val="00170B30"/>
    <w:pPr>
      <w:spacing w:beforeAutospacing="1" w:afterAutospacing="1" w:line="240" w:lineRule="auto"/>
    </w:pPr>
    <w:rPr>
      <w:rFonts w:ascii="Times New Roman" w:eastAsia="Times New Roman" w:hAnsi="Times New Roman" w:cs="Times New Roman"/>
      <w:sz w:val="24"/>
      <w:szCs w:val="24"/>
    </w:rPr>
  </w:style>
  <w:style w:type="paragraph" w:customStyle="1" w:styleId="revann">
    <w:name w:val="rev_ann"/>
    <w:basedOn w:val="a"/>
    <w:qFormat/>
    <w:rsid w:val="00170B30"/>
    <w:pPr>
      <w:spacing w:beforeAutospacing="1"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qFormat/>
    <w:rsid w:val="00170B30"/>
    <w:pPr>
      <w:spacing w:beforeAutospacing="1" w:afterAutospacing="1" w:line="240" w:lineRule="auto"/>
    </w:pPr>
    <w:rPr>
      <w:rFonts w:ascii="Times New Roman" w:eastAsia="Times New Roman" w:hAnsi="Times New Roman" w:cs="Times New Roman"/>
      <w:sz w:val="24"/>
      <w:szCs w:val="24"/>
    </w:rPr>
  </w:style>
  <w:style w:type="paragraph" w:customStyle="1" w:styleId="ad">
    <w:name w:val="Содержимое таблицы"/>
    <w:basedOn w:val="a"/>
    <w:qFormat/>
    <w:rsid w:val="004939E4"/>
    <w:pPr>
      <w:suppressLineNumbers/>
    </w:pPr>
  </w:style>
  <w:style w:type="paragraph" w:customStyle="1" w:styleId="ae">
    <w:name w:val="Заголовок таблицы"/>
    <w:basedOn w:val="ad"/>
    <w:qFormat/>
    <w:rsid w:val="004939E4"/>
    <w:pPr>
      <w:jc w:val="center"/>
    </w:pPr>
    <w:rPr>
      <w:b/>
      <w:bCs/>
    </w:rPr>
  </w:style>
  <w:style w:type="table" w:styleId="af">
    <w:name w:val="Table Grid"/>
    <w:basedOn w:val="a1"/>
    <w:uiPriority w:val="59"/>
    <w:rsid w:val="0070286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15819</Words>
  <Characters>90171</Characters>
  <Application>Microsoft Office Word</Application>
  <DocSecurity>0</DocSecurity>
  <Lines>751</Lines>
  <Paragraphs>211</Paragraphs>
  <ScaleCrop>false</ScaleCrop>
  <Company/>
  <LinksUpToDate>false</LinksUpToDate>
  <CharactersWithSpaces>105779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2025-06-06T15:40:00Z</cp:lastPrinted>
  <dcterms:created xsi:type="dcterms:W3CDTF">2025-06-19T10:29:00Z</dcterms:created>
  <dcterms:modified xsi:type="dcterms:W3CDTF">2025-06-19T10:29:00Z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