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</w:t>
      </w:r>
      <w:r w:rsidR="000B042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а также по адресу электронной почты: </w:t>
      </w:r>
      <w:r w:rsidR="000B0420">
        <w:rPr>
          <w:rFonts w:ascii="PT Astra Serif" w:hAnsi="PT Astra Serif"/>
          <w:sz w:val="28"/>
          <w:szCs w:val="28"/>
          <w:lang w:val="en-US"/>
        </w:rPr>
        <w:t>urist</w:t>
      </w:r>
      <w:r w:rsidR="000B0420" w:rsidRPr="000B0420">
        <w:rPr>
          <w:rFonts w:ascii="PT Astra Serif" w:hAnsi="PT Astra Serif"/>
          <w:sz w:val="28"/>
          <w:szCs w:val="28"/>
        </w:rPr>
        <w:t>73</w:t>
      </w:r>
      <w:r w:rsidR="000B0420">
        <w:rPr>
          <w:rFonts w:ascii="PT Astra Serif" w:hAnsi="PT Astra Serif"/>
          <w:sz w:val="28"/>
          <w:szCs w:val="28"/>
          <w:lang w:val="en-US"/>
        </w:rPr>
        <w:t>dor</w:t>
      </w:r>
      <w:r w:rsidR="000B0420" w:rsidRPr="000B0420">
        <w:rPr>
          <w:rFonts w:ascii="PT Astra Serif" w:hAnsi="PT Astra Serif"/>
          <w:sz w:val="28"/>
          <w:szCs w:val="28"/>
        </w:rPr>
        <w:t>@</w:t>
      </w:r>
      <w:r w:rsidR="000B0420">
        <w:rPr>
          <w:rFonts w:ascii="PT Astra Serif" w:hAnsi="PT Astra Serif"/>
          <w:sz w:val="28"/>
          <w:szCs w:val="28"/>
          <w:lang w:val="en-US"/>
        </w:rPr>
        <w:t>ulmeria</w:t>
      </w:r>
      <w:r w:rsidR="000B0420" w:rsidRPr="000B0420">
        <w:rPr>
          <w:rFonts w:ascii="PT Astra Serif" w:hAnsi="PT Astra Serif"/>
          <w:sz w:val="28"/>
          <w:szCs w:val="28"/>
        </w:rPr>
        <w:t>.</w:t>
      </w:r>
      <w:r w:rsidR="000B0420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C646A3">
        <w:rPr>
          <w:rFonts w:ascii="PT Astra Serif" w:hAnsi="PT Astra Serif"/>
          <w:sz w:val="28"/>
          <w:szCs w:val="28"/>
        </w:rPr>
        <w:t xml:space="preserve"> </w:t>
      </w:r>
      <w:r w:rsidR="00290E1D">
        <w:rPr>
          <w:rFonts w:ascii="PT Astra Serif" w:hAnsi="PT Astra Serif"/>
          <w:sz w:val="28"/>
          <w:szCs w:val="28"/>
        </w:rPr>
        <w:t>2</w:t>
      </w:r>
      <w:r w:rsidR="00C646A3">
        <w:rPr>
          <w:rFonts w:ascii="PT Astra Serif" w:hAnsi="PT Astra Serif"/>
          <w:sz w:val="28"/>
          <w:szCs w:val="28"/>
        </w:rPr>
        <w:t>6</w:t>
      </w:r>
      <w:r w:rsidR="00290E1D">
        <w:rPr>
          <w:rFonts w:ascii="PT Astra Serif" w:hAnsi="PT Astra Serif"/>
          <w:sz w:val="28"/>
          <w:szCs w:val="28"/>
        </w:rPr>
        <w:t>.11.2024</w:t>
      </w:r>
      <w:r w:rsidR="00A43AFD">
        <w:rPr>
          <w:rFonts w:ascii="PT Astra Serif" w:hAnsi="PT Astra Serif"/>
          <w:sz w:val="28"/>
          <w:szCs w:val="28"/>
        </w:rPr>
        <w:t xml:space="preserve"> по </w:t>
      </w:r>
      <w:r w:rsidR="00290E1D">
        <w:rPr>
          <w:rFonts w:ascii="PT Astra Serif" w:hAnsi="PT Astra Serif"/>
          <w:sz w:val="28"/>
          <w:szCs w:val="28"/>
        </w:rPr>
        <w:t>0</w:t>
      </w:r>
      <w:r w:rsidR="0079417A">
        <w:rPr>
          <w:rFonts w:ascii="PT Astra Serif" w:hAnsi="PT Astra Serif"/>
          <w:sz w:val="28"/>
          <w:szCs w:val="28"/>
        </w:rPr>
        <w:t>9</w:t>
      </w:r>
      <w:r w:rsidR="00290E1D">
        <w:rPr>
          <w:rFonts w:ascii="PT Astra Serif" w:hAnsi="PT Astra Serif"/>
          <w:sz w:val="28"/>
          <w:szCs w:val="28"/>
        </w:rPr>
        <w:t>.12.2024</w:t>
      </w:r>
      <w:r>
        <w:rPr>
          <w:rFonts w:ascii="PT Astra Serif" w:hAnsi="PT Astra Serif"/>
          <w:sz w:val="28"/>
          <w:szCs w:val="28"/>
        </w:rPr>
        <w:t>.</w:t>
      </w:r>
    </w:p>
    <w:p w:rsidR="00290E1D" w:rsidRPr="00290E1D" w:rsidRDefault="00B14958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290E1D" w:rsidRPr="00290E1D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</w:t>
        </w:r>
      </w:hyperlink>
    </w:p>
    <w:p w:rsidR="00290E1D" w:rsidRPr="00290E1D" w:rsidRDefault="00290E1D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90E1D">
        <w:rPr>
          <w:rFonts w:ascii="PT Astra Serif" w:hAnsi="PT Astra Serif"/>
          <w:sz w:val="28"/>
          <w:szCs w:val="28"/>
        </w:rPr>
        <w:t>otsenka-reguliruyuschego-vozdeystviya/.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290E1D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0B0420" w:rsidRDefault="000B0420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Ульяновска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0B0420" w:rsidRDefault="00A43AFD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</w:rPr>
              <w:t>О внесении изменени</w:t>
            </w:r>
            <w:r w:rsidR="00A73154">
              <w:rPr>
                <w:rFonts w:ascii="PT Astra Serif" w:eastAsia="Calibri" w:hAnsi="PT Astra Serif"/>
                <w:sz w:val="28"/>
              </w:rPr>
              <w:t>й</w:t>
            </w:r>
            <w:r>
              <w:rPr>
                <w:rFonts w:ascii="PT Astra Serif" w:eastAsia="Calibri" w:hAnsi="PT Astra Serif"/>
                <w:sz w:val="28"/>
              </w:rPr>
              <w:t xml:space="preserve"> в постановление администрации города Ульяновска от </w:t>
            </w:r>
            <w:r w:rsidR="003753B8">
              <w:rPr>
                <w:rFonts w:ascii="PT Astra Serif" w:eastAsia="Calibri" w:hAnsi="PT Astra Serif"/>
                <w:sz w:val="28"/>
              </w:rPr>
              <w:t>20.12.2021 № 2060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Pr="00412F37" w:rsidRDefault="00A43AFD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связи с необходимостью </w:t>
            </w:r>
            <w:r w:rsidR="003753B8">
              <w:rPr>
                <w:rFonts w:ascii="PT Astra Serif" w:hAnsi="PT Astra Serif"/>
                <w:sz w:val="28"/>
                <w:szCs w:val="28"/>
              </w:rPr>
              <w:t xml:space="preserve">определения порядка </w:t>
            </w:r>
            <w:r w:rsidR="003753B8" w:rsidRPr="00572D04">
              <w:rPr>
                <w:rFonts w:ascii="PT Astra Serif" w:hAnsi="PT Astra Serif" w:cs="PT Astra Serif"/>
                <w:sz w:val="28"/>
                <w:szCs w:val="28"/>
              </w:rPr>
              <w:t>переоформления свидетельства об осуществлении перевозок по муниципальному маршруту регулярных перевозок, карт муниципального маршрута регулярных перевозок</w:t>
            </w:r>
            <w:r w:rsidR="00290E1D">
              <w:rPr>
                <w:rFonts w:ascii="PT Astra Serif" w:hAnsi="PT Astra Serif" w:cs="PT Astra Serif"/>
                <w:sz w:val="28"/>
                <w:szCs w:val="28"/>
              </w:rPr>
              <w:t>, а также изменением требований, предъявляемых к перевозчику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3753B8" w:rsidRDefault="003753B8" w:rsidP="003753B8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Определение порядка </w:t>
            </w:r>
            <w:r w:rsidRPr="00572D04">
              <w:rPr>
                <w:rFonts w:ascii="PT Astra Serif" w:hAnsi="PT Astra Serif" w:cs="PT Astra Serif"/>
                <w:sz w:val="28"/>
                <w:szCs w:val="28"/>
              </w:rPr>
              <w:t>переоформления свидетельства об осуществлении перевозок по муниципальному маршруту регулярных перевозок, карт муниципального маршрута регулярных перевозок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соответствии с требованиями статей 2, 27 </w:t>
            </w:r>
            <w:r w:rsidRPr="006B5A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Федерального закона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6B5A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Pr="006B5AD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.</w:t>
            </w:r>
          </w:p>
          <w:p w:rsidR="00B14958" w:rsidRPr="003753B8" w:rsidRDefault="00B14958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Описание предлагаемого регулирования с указанием круга лиц, на которых будет распространено их действие, и сравнительной оценкой </w:t>
      </w:r>
      <w:r>
        <w:rPr>
          <w:rFonts w:ascii="PT Astra Serif" w:hAnsi="PT Astra Serif"/>
          <w:sz w:val="28"/>
          <w:szCs w:val="28"/>
        </w:rPr>
        <w:lastRenderedPageBreak/>
        <w:t>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 частью 5 статьи 19 Федерального закона от 13.07.2015 № 220-ФЗ «Об организации регулярных перевозок пассажиров и багажа авто-мобильным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Закон 220-ФЗ)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</w:t>
            </w:r>
            <w:r>
              <w:rPr>
                <w:rFonts w:ascii="PT Astra Serif" w:hAnsi="PT Astra Serif"/>
                <w:sz w:val="28"/>
                <w:szCs w:val="28"/>
              </w:rPr>
              <w:t>одтверждения участником открыто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го конкурса наличия у него транспортных ср</w:t>
            </w:r>
            <w:r>
              <w:rPr>
                <w:rFonts w:ascii="PT Astra Serif" w:hAnsi="PT Astra Serif"/>
                <w:sz w:val="28"/>
                <w:szCs w:val="28"/>
              </w:rPr>
              <w:t>едств, предусмотренных его заяв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кой на участие в открытом конкурсе. Если до </w:t>
            </w:r>
            <w:r>
              <w:rPr>
                <w:rFonts w:ascii="PT Astra Serif" w:hAnsi="PT Astra Serif"/>
                <w:sz w:val="28"/>
                <w:szCs w:val="28"/>
              </w:rPr>
              <w:t>истечения срока действия указан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ных свидетельства и карт данного маршрута не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наступят обстоятельства, преду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смотренные пунктом 1, 2, 3 или 7 части 1 стать</w:t>
            </w:r>
            <w:r>
              <w:rPr>
                <w:rFonts w:ascii="PT Astra Serif" w:hAnsi="PT Astra Serif"/>
                <w:sz w:val="28"/>
                <w:szCs w:val="28"/>
              </w:rPr>
              <w:t>и 29 либо пунктом 4 части 2 ста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тьи 19 Закона 220-ФЗ, действие указанных свидетельства и карт данного марш-рута продлевается на срок не менее чем пять лет. Количество таких продлений не ограничивается. Продление указанных свид</w:t>
            </w:r>
            <w:r>
              <w:rPr>
                <w:rFonts w:ascii="PT Astra Serif" w:hAnsi="PT Astra Serif"/>
                <w:sz w:val="28"/>
                <w:szCs w:val="28"/>
              </w:rPr>
              <w:t>етельства и карт данного маршру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та на меньший срок допускается в случае, если </w:t>
            </w:r>
            <w:r>
              <w:rPr>
                <w:rFonts w:ascii="PT Astra Serif" w:hAnsi="PT Astra Serif"/>
                <w:sz w:val="28"/>
                <w:szCs w:val="28"/>
              </w:rPr>
              <w:t>по истечении этого срока в соот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ветствии с документом планирования регулярных перевозок предусматривается отмена маршрута регулярных перевозок.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со статьёй 27 Закона 2</w:t>
            </w:r>
            <w:r>
              <w:rPr>
                <w:rFonts w:ascii="PT Astra Serif" w:hAnsi="PT Astra Serif"/>
                <w:sz w:val="28"/>
                <w:szCs w:val="28"/>
              </w:rPr>
              <w:t>20-ФЗ свидетельство об осуществ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лении перевозок по маршруту регулярных перевозок, выданное юридическому лицу, индивидуальному предпринимателю,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уполномоченному участнику дого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вора простого товарищества, подлежит переоформлению в случае 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измене-ния его наименования, адреса места нахождения, а также в случ</w:t>
            </w:r>
            <w:r>
              <w:rPr>
                <w:rFonts w:ascii="PT Astra Serif" w:hAnsi="PT Astra Serif"/>
                <w:sz w:val="28"/>
                <w:szCs w:val="28"/>
              </w:rPr>
              <w:t>ае изменения ме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ста жительства, и (или) фамилии, и (или) имен</w:t>
            </w:r>
            <w:r>
              <w:rPr>
                <w:rFonts w:ascii="PT Astra Serif" w:hAnsi="PT Astra Serif"/>
                <w:sz w:val="28"/>
                <w:szCs w:val="28"/>
              </w:rPr>
              <w:t>и, и (или) отчества индивидуаль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ного предпринимателя, изменения состава уч</w:t>
            </w:r>
            <w:r>
              <w:rPr>
                <w:rFonts w:ascii="PT Astra Serif" w:hAnsi="PT Astra Serif"/>
                <w:sz w:val="28"/>
                <w:szCs w:val="28"/>
              </w:rPr>
              <w:t>астников договора простого това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рищества в связи со смертью одного из участников такого договора.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Переоформление свидетельства об ос</w:t>
            </w:r>
            <w:r>
              <w:rPr>
                <w:rFonts w:ascii="PT Astra Serif" w:hAnsi="PT Astra Serif"/>
                <w:sz w:val="28"/>
                <w:szCs w:val="28"/>
              </w:rPr>
              <w:t>уществлении перевозок по маршру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ту регулярных перевозок осуществляется выдавшими такое свидетельство уполномоченным федеральным органом исп</w:t>
            </w:r>
            <w:r>
              <w:rPr>
                <w:rFonts w:ascii="PT Astra Serif" w:hAnsi="PT Astra Serif"/>
                <w:sz w:val="28"/>
                <w:szCs w:val="28"/>
              </w:rPr>
              <w:t>олнительной власти, уполномочен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ным органом исполнительной власти субъект</w:t>
            </w:r>
            <w:r>
              <w:rPr>
                <w:rFonts w:ascii="PT Astra Serif" w:hAnsi="PT Astra Serif"/>
                <w:sz w:val="28"/>
                <w:szCs w:val="28"/>
              </w:rPr>
              <w:t>а Российской Федерации или упол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номоченным органом местного самоуправлени</w:t>
            </w:r>
            <w:r>
              <w:rPr>
                <w:rFonts w:ascii="PT Astra Serif" w:hAnsi="PT Astra Serif"/>
                <w:sz w:val="28"/>
                <w:szCs w:val="28"/>
              </w:rPr>
              <w:t>я в течение пяти дней со дня об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ращения с соответствующим заявлением юридического лица, индивидуального предпринимателя, уполномоченного участ</w:t>
            </w:r>
            <w:r>
              <w:rPr>
                <w:rFonts w:ascii="PT Astra Serif" w:hAnsi="PT Astra Serif"/>
                <w:sz w:val="28"/>
                <w:szCs w:val="28"/>
              </w:rPr>
              <w:t>ника договора простого товарище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ства, которым было выдано данное свидетельство.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 xml:space="preserve">Между тем, Законом 220-ФЗ и Законом Ульяновской области 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от 04.12.2007 № 209-ЗО «О правовом регули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ровании отдельных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вопросов, воз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никающих в сфере организации в границах территории Ульяновской области транспортного обслуживания населения автомобильны</w:t>
            </w:r>
            <w:r>
              <w:rPr>
                <w:rFonts w:ascii="PT Astra Serif" w:hAnsi="PT Astra Serif"/>
                <w:sz w:val="28"/>
                <w:szCs w:val="28"/>
              </w:rPr>
              <w:t>м транспортом» не ре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гламентирован порядок переоформления ука</w:t>
            </w:r>
            <w:r>
              <w:rPr>
                <w:rFonts w:ascii="PT Astra Serif" w:hAnsi="PT Astra Serif"/>
                <w:sz w:val="28"/>
                <w:szCs w:val="28"/>
              </w:rPr>
              <w:t>занных свидетельств и карт марш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рута.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 xml:space="preserve">В соответствии с частями 2 и 3 статьи </w:t>
            </w:r>
            <w:r>
              <w:rPr>
                <w:rFonts w:ascii="PT Astra Serif" w:hAnsi="PT Astra Serif"/>
                <w:sz w:val="28"/>
                <w:szCs w:val="28"/>
              </w:rPr>
              <w:t>2 Закона 220-ФЗ отношения по ор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ганизации регулярных перевозок, не урегу</w:t>
            </w:r>
            <w:r>
              <w:rPr>
                <w:rFonts w:ascii="PT Astra Serif" w:hAnsi="PT Astra Serif"/>
                <w:sz w:val="28"/>
                <w:szCs w:val="28"/>
              </w:rPr>
              <w:t>лированные нормативными правовы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ми актами, указанными в части 1 статьи 2 Закона 220-ФЗ, регулируются закона-ми и иными нормативными правовыми актами субъектов Российской Федерации или муниципальными нормативными правовыми актами.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С 01.01.2022 в Кодекс Ульяновской области об административных право-нарушениях введена статья 13.4 «Несоблю</w:t>
            </w:r>
            <w:r>
              <w:rPr>
                <w:rFonts w:ascii="PT Astra Serif" w:hAnsi="PT Astra Serif"/>
                <w:sz w:val="28"/>
                <w:szCs w:val="28"/>
              </w:rPr>
              <w:t>дение юридическими лицами, инди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видуальными предпринимателями, участни</w:t>
            </w:r>
            <w:r>
              <w:rPr>
                <w:rFonts w:ascii="PT Astra Serif" w:hAnsi="PT Astra Serif"/>
                <w:sz w:val="28"/>
                <w:szCs w:val="28"/>
              </w:rPr>
              <w:t>ками договора простого товарище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ства, осуществляющими в границах террито</w:t>
            </w:r>
            <w:r>
              <w:rPr>
                <w:rFonts w:ascii="PT Astra Serif" w:hAnsi="PT Astra Serif"/>
                <w:sz w:val="28"/>
                <w:szCs w:val="28"/>
              </w:rPr>
              <w:t>рии Ульяновской области регуляр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ные перевозки пассажиров и багажа автомобильным или городским наземным электрическим транспортом по нерегулируе</w:t>
            </w:r>
            <w:r>
              <w:rPr>
                <w:rFonts w:ascii="PT Astra Serif" w:hAnsi="PT Astra Serif"/>
                <w:sz w:val="28"/>
                <w:szCs w:val="28"/>
              </w:rPr>
              <w:t>мым тарифам, требований к макси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мально допустимому соотношению между </w:t>
            </w:r>
            <w:r>
              <w:rPr>
                <w:rFonts w:ascii="PT Astra Serif" w:hAnsi="PT Astra Serif"/>
                <w:sz w:val="28"/>
                <w:szCs w:val="28"/>
              </w:rPr>
              <w:t>количеством рейсов, не выполнен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ных в течение одного квартала, и количеством рейсов, предусмотренным для выполнения в течение данного квартала установленным расписанием».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 Законом Ульяновской области от 28.02.2011 № 18-ЗО «О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</w:t>
            </w:r>
            <w:r>
              <w:rPr>
                <w:rFonts w:ascii="PT Astra Serif" w:hAnsi="PT Astra Serif"/>
                <w:sz w:val="28"/>
                <w:szCs w:val="28"/>
              </w:rPr>
              <w:t>равления, уполномоченных состав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лять протоколы об отдельных админист</w:t>
            </w:r>
            <w:r>
              <w:rPr>
                <w:rFonts w:ascii="PT Astra Serif" w:hAnsi="PT Astra Serif"/>
                <w:sz w:val="28"/>
                <w:szCs w:val="28"/>
              </w:rPr>
              <w:t>ративных правонарушениях, преду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смотренных Кодексом Ульяновской област</w:t>
            </w:r>
            <w:r>
              <w:rPr>
                <w:rFonts w:ascii="PT Astra Serif" w:hAnsi="PT Astra Serif"/>
                <w:sz w:val="28"/>
                <w:szCs w:val="28"/>
              </w:rPr>
              <w:t>и об административных правонару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шениях» и распоряжением администрации г. Ульяновска от 07.10.2022 N 292-р «Об утверждении Перечней должностных л</w:t>
            </w:r>
            <w:r>
              <w:rPr>
                <w:rFonts w:ascii="PT Astra Serif" w:hAnsi="PT Astra Serif"/>
                <w:sz w:val="28"/>
                <w:szCs w:val="28"/>
              </w:rPr>
              <w:t>иц администрации города Ульянов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ска, уполномоченных составлять протокол</w:t>
            </w:r>
            <w:r>
              <w:rPr>
                <w:rFonts w:ascii="PT Astra Serif" w:hAnsi="PT Astra Serif"/>
                <w:sz w:val="28"/>
                <w:szCs w:val="28"/>
              </w:rPr>
              <w:t>ы об административных правонару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шениях, предусмотренных Кодексом Россий</w:t>
            </w:r>
            <w:r>
              <w:rPr>
                <w:rFonts w:ascii="PT Astra Serif" w:hAnsi="PT Astra Serif"/>
                <w:sz w:val="28"/>
                <w:szCs w:val="28"/>
              </w:rPr>
              <w:t>ской Федерации об административ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ных правонарушениях и Кодексом Ульяновской области об административных правонарушениях» Управление дорожного хо</w:t>
            </w:r>
            <w:r>
              <w:rPr>
                <w:rFonts w:ascii="PT Astra Serif" w:hAnsi="PT Astra Serif"/>
                <w:sz w:val="28"/>
                <w:szCs w:val="28"/>
              </w:rPr>
              <w:t>зяйства и транспорта администра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ции города Ульяновска (далее – Управление) </w:t>
            </w:r>
            <w:r>
              <w:rPr>
                <w:rFonts w:ascii="PT Astra Serif" w:hAnsi="PT Astra Serif"/>
                <w:sz w:val="28"/>
                <w:szCs w:val="28"/>
              </w:rPr>
              <w:t>осуществляет работу по составле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нию протоколов об административных правонарушениях, предусмотренных статьёй 13.4 Кодекса Ульяновской области </w:t>
            </w:r>
            <w:r>
              <w:rPr>
                <w:rFonts w:ascii="PT Astra Serif" w:hAnsi="PT Astra Serif"/>
                <w:sz w:val="28"/>
                <w:szCs w:val="28"/>
              </w:rPr>
              <w:t>об административных правонаруше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ниях.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ходе анализа проведённой в 2023 го</w:t>
            </w:r>
            <w:r>
              <w:rPr>
                <w:rFonts w:ascii="PT Astra Serif" w:hAnsi="PT Astra Serif"/>
                <w:sz w:val="28"/>
                <w:szCs w:val="28"/>
              </w:rPr>
              <w:t>ду вышеуказанной работы установ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лено, что в связи с тесной городской застро</w:t>
            </w:r>
            <w:r>
              <w:rPr>
                <w:rFonts w:ascii="PT Astra Serif" w:hAnsi="PT Astra Serif"/>
                <w:sz w:val="28"/>
                <w:szCs w:val="28"/>
              </w:rPr>
              <w:t>йкой, большим количеством свето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форных объектов, даже добросовестные перев</w:t>
            </w:r>
            <w:r>
              <w:rPr>
                <w:rFonts w:ascii="PT Astra Serif" w:hAnsi="PT Astra Serif"/>
                <w:sz w:val="28"/>
                <w:szCs w:val="28"/>
              </w:rPr>
              <w:t>озчики не могут исполнить требо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вание пункта 2 раздела 9 Положения об орган</w:t>
            </w:r>
            <w:r>
              <w:rPr>
                <w:rFonts w:ascii="PT Astra Serif" w:hAnsi="PT Astra Serif"/>
                <w:sz w:val="28"/>
                <w:szCs w:val="28"/>
              </w:rPr>
              <w:t>изации регулярных перевозок пас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сажиров и багажа автомобильным и городск</w:t>
            </w:r>
            <w:r>
              <w:rPr>
                <w:rFonts w:ascii="PT Astra Serif" w:hAnsi="PT Astra Serif"/>
                <w:sz w:val="28"/>
                <w:szCs w:val="28"/>
              </w:rPr>
              <w:t>им наземным электрическим транс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портом на территории муниципального образования «город Ульяновск».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lastRenderedPageBreak/>
              <w:t>Изучив практику субъектов Российс</w:t>
            </w:r>
            <w:r>
              <w:rPr>
                <w:rFonts w:ascii="PT Astra Serif" w:hAnsi="PT Astra Serif"/>
                <w:sz w:val="28"/>
                <w:szCs w:val="28"/>
              </w:rPr>
              <w:t>кой Федерации Приволжского феде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рального округа, а именно Нижегородской области, города Саратов, города Уфа, установлено, что требование обеспечить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устанавливается на уровне не ниже 90 процентов.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2023 году Министерством транспор</w:t>
            </w:r>
            <w:r>
              <w:rPr>
                <w:rFonts w:ascii="PT Astra Serif" w:hAnsi="PT Astra Serif"/>
                <w:sz w:val="28"/>
                <w:szCs w:val="28"/>
              </w:rPr>
              <w:t>та Ульяновской области из 37 по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становлений вынесено 19 постановлений о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Данная ситуация сложилась в связи с отсутствием надлежащего контроля за осуществлением регулярных перевозок.</w:t>
            </w:r>
          </w:p>
          <w:p w:rsidR="00B14958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 поручением Губернатора Ульяновской области             от 03.06.2022 № 167-ПЧ расширена обязанность перевозчика по передаче в региональную навигационно-информационную систему Ульяновской области информации о месте нахождения транспортных средств, используемых для пассажирских перевозок на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маршрута регулярных перево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зок, (не допускается передача информации в б</w:t>
            </w:r>
            <w:r>
              <w:rPr>
                <w:rFonts w:ascii="PT Astra Serif" w:hAnsi="PT Astra Serif"/>
                <w:sz w:val="28"/>
                <w:szCs w:val="28"/>
              </w:rPr>
              <w:t>олее чем в один адрес) безналич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ной оплате проезда и пассажиропотоке с исп</w:t>
            </w:r>
            <w:r>
              <w:rPr>
                <w:rFonts w:ascii="PT Astra Serif" w:hAnsi="PT Astra Serif"/>
                <w:sz w:val="28"/>
                <w:szCs w:val="28"/>
              </w:rPr>
              <w:t>ользованием единой автоматизиро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ванной системы учёта пассажирских перевозок и оплаты проезда                    на автомобильном транспорте на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маршрута регулярных перево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зок.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290E1D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 2024 года</w:t>
            </w:r>
            <w:bookmarkStart w:id="0" w:name="_GoBack"/>
            <w:bookmarkEnd w:id="0"/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</w:p>
    <w:sectPr w:rsidR="00B14958" w:rsidRPr="00592025" w:rsidSect="00CF1D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E5" w:rsidRDefault="00221AE5" w:rsidP="00CF1D5D">
      <w:pPr>
        <w:spacing w:after="0" w:line="240" w:lineRule="auto"/>
      </w:pPr>
      <w:r>
        <w:separator/>
      </w:r>
    </w:p>
  </w:endnote>
  <w:endnote w:type="continuationSeparator" w:id="1">
    <w:p w:rsidR="00221AE5" w:rsidRDefault="00221AE5" w:rsidP="00CF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E5" w:rsidRDefault="00221AE5" w:rsidP="00CF1D5D">
      <w:pPr>
        <w:spacing w:after="0" w:line="240" w:lineRule="auto"/>
      </w:pPr>
      <w:r>
        <w:separator/>
      </w:r>
    </w:p>
  </w:footnote>
  <w:footnote w:type="continuationSeparator" w:id="1">
    <w:p w:rsidR="00221AE5" w:rsidRDefault="00221AE5" w:rsidP="00CF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998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D5D" w:rsidRPr="00CF1D5D" w:rsidRDefault="000712E5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CF1D5D">
          <w:rPr>
            <w:rFonts w:ascii="PT Astra Serif" w:hAnsi="PT Astra Serif"/>
            <w:sz w:val="28"/>
            <w:szCs w:val="28"/>
          </w:rPr>
          <w:fldChar w:fldCharType="begin"/>
        </w:r>
        <w:r w:rsidR="00CF1D5D" w:rsidRPr="00CF1D5D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1D5D">
          <w:rPr>
            <w:rFonts w:ascii="PT Astra Serif" w:hAnsi="PT Astra Serif"/>
            <w:sz w:val="28"/>
            <w:szCs w:val="28"/>
          </w:rPr>
          <w:fldChar w:fldCharType="separate"/>
        </w:r>
        <w:r w:rsidR="0079417A">
          <w:rPr>
            <w:rFonts w:ascii="PT Astra Serif" w:hAnsi="PT Astra Serif"/>
            <w:noProof/>
            <w:sz w:val="28"/>
            <w:szCs w:val="28"/>
          </w:rPr>
          <w:t>3</w:t>
        </w:r>
        <w:r w:rsidRPr="00CF1D5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58"/>
    <w:rsid w:val="000659D8"/>
    <w:rsid w:val="000712E5"/>
    <w:rsid w:val="000B0420"/>
    <w:rsid w:val="000E22BA"/>
    <w:rsid w:val="00221AE5"/>
    <w:rsid w:val="00290E1D"/>
    <w:rsid w:val="003024B6"/>
    <w:rsid w:val="00334337"/>
    <w:rsid w:val="003753B8"/>
    <w:rsid w:val="00412F37"/>
    <w:rsid w:val="00530BAE"/>
    <w:rsid w:val="00592025"/>
    <w:rsid w:val="005C501E"/>
    <w:rsid w:val="005F6ACF"/>
    <w:rsid w:val="0079417A"/>
    <w:rsid w:val="0084598D"/>
    <w:rsid w:val="0094394F"/>
    <w:rsid w:val="009F5907"/>
    <w:rsid w:val="00A43AFD"/>
    <w:rsid w:val="00A43D41"/>
    <w:rsid w:val="00A73154"/>
    <w:rsid w:val="00B14958"/>
    <w:rsid w:val="00C646A3"/>
    <w:rsid w:val="00CF1D5D"/>
    <w:rsid w:val="00E83E76"/>
    <w:rsid w:val="00E87576"/>
    <w:rsid w:val="00FA2E13"/>
    <w:rsid w:val="00FD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5D"/>
  </w:style>
  <w:style w:type="paragraph" w:styleId="a9">
    <w:name w:val="footer"/>
    <w:basedOn w:val="a"/>
    <w:link w:val="aa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5D"/>
  </w:style>
  <w:style w:type="character" w:styleId="ab">
    <w:name w:val="Hyperlink"/>
    <w:basedOn w:val="a0"/>
    <w:uiPriority w:val="99"/>
    <w:semiHidden/>
    <w:unhideWhenUsed/>
    <w:rsid w:val="0029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user</cp:lastModifiedBy>
  <cp:revision>15</cp:revision>
  <cp:lastPrinted>2022-12-05T08:01:00Z</cp:lastPrinted>
  <dcterms:created xsi:type="dcterms:W3CDTF">2022-04-06T10:05:00Z</dcterms:created>
  <dcterms:modified xsi:type="dcterms:W3CDTF">2024-11-26T11:12:00Z</dcterms:modified>
</cp:coreProperties>
</file>