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="10123" w:h="14676" w:hRule="exact" w:wrap="none" w:vAnchor="page" w:hAnchor="page" w:x="1116" w:y="484"/>
        <w:widowControl w:val="0"/>
        <w:keepNext w:val="0"/>
        <w:keepLines w:val="0"/>
        <w:shd w:val="clear" w:color="auto" w:fill="auto"/>
        <w:bidi w:val="0"/>
        <w:spacing w:before="0" w:after="736"/>
        <w:ind w:left="0" w:right="3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Управление физической культуры и спорта</w:t>
        <w:br/>
        <w:t>администрации города Ульяновска</w:t>
      </w:r>
    </w:p>
    <w:p>
      <w:pPr>
        <w:pStyle w:val="Style2"/>
        <w:framePr w:w="10123" w:h="14676" w:hRule="exact" w:wrap="none" w:vAnchor="page" w:hAnchor="page" w:x="1116" w:y="484"/>
        <w:widowControl w:val="0"/>
        <w:keepNext w:val="0"/>
        <w:keepLines w:val="0"/>
        <w:shd w:val="clear" w:color="auto" w:fill="auto"/>
        <w:bidi w:val="0"/>
        <w:jc w:val="both"/>
        <w:spacing w:before="0" w:after="120" w:line="322" w:lineRule="exact"/>
        <w:ind w:left="560" w:right="20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рамках реализации инициативных проектов на территории муниципального образования «города Ульяновск» в 2025 году для обсуждения, рассмотрения и участия в конкурсном отборе в администрацию города Ульяновска поступил проект «Пространство доступного детства».</w:t>
      </w:r>
    </w:p>
    <w:p>
      <w:pPr>
        <w:pStyle w:val="Style2"/>
        <w:framePr w:w="10123" w:h="14676" w:hRule="exact" w:wrap="none" w:vAnchor="page" w:hAnchor="page" w:x="1116" w:y="484"/>
        <w:widowControl w:val="0"/>
        <w:keepNext w:val="0"/>
        <w:keepLines w:val="0"/>
        <w:shd w:val="clear" w:color="auto" w:fill="auto"/>
        <w:bidi w:val="0"/>
        <w:jc w:val="both"/>
        <w:spacing w:before="0" w:after="137" w:line="322" w:lineRule="exact"/>
        <w:ind w:left="560" w:right="20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Проект выдвинут инициативной группой и инициатором проекта Авдеевой Натальей Викторовной. Проект обсуждался на собрании инициативной группы и получил поддержку граждан, проживающих на территории муниципального образования «город Ульяновск» Засвияжского района. Проект планируется реализовать на базе спортивно-досугового клуба «Орлёнок» муниципального бюджетного учреждения «Симбирцит», расположенного по адресу: город Ульяновск, ул. Октябрьская, д.32а. Стоимость проекта составляет 650000,00 рублей.</w:t>
      </w:r>
    </w:p>
    <w:p>
      <w:pPr>
        <w:pStyle w:val="Style2"/>
        <w:framePr w:w="10123" w:h="14676" w:hRule="exact" w:wrap="none" w:vAnchor="page" w:hAnchor="page" w:x="1116" w:y="484"/>
        <w:widowControl w:val="0"/>
        <w:keepNext w:val="0"/>
        <w:keepLines w:val="0"/>
        <w:shd w:val="clear" w:color="auto" w:fill="auto"/>
        <w:bidi w:val="0"/>
        <w:jc w:val="both"/>
        <w:spacing w:before="0" w:after="121" w:line="300" w:lineRule="exact"/>
        <w:ind w:left="5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Планируемые источники финансирования:</w:t>
      </w:r>
    </w:p>
    <w:p>
      <w:pPr>
        <w:pStyle w:val="Style2"/>
        <w:numPr>
          <w:ilvl w:val="0"/>
          <w:numId w:val="1"/>
        </w:numPr>
        <w:framePr w:w="10123" w:h="14676" w:hRule="exact" w:wrap="none" w:vAnchor="page" w:hAnchor="page" w:x="1116" w:y="484"/>
        <w:tabs>
          <w:tab w:leader="none" w:pos="80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20" w:line="326" w:lineRule="exact"/>
        <w:ind w:left="560" w:right="2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519350,00 рублей - средства бюджета муниципального образования «город Ульяновск»</w:t>
      </w:r>
    </w:p>
    <w:p>
      <w:pPr>
        <w:pStyle w:val="Style2"/>
        <w:numPr>
          <w:ilvl w:val="0"/>
          <w:numId w:val="1"/>
        </w:numPr>
        <w:framePr w:w="10123" w:h="14676" w:hRule="exact" w:wrap="none" w:vAnchor="page" w:hAnchor="page" w:x="1116" w:y="484"/>
        <w:tabs>
          <w:tab w:leader="none" w:pos="80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41" w:line="326" w:lineRule="exact"/>
        <w:ind w:left="560" w:right="2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130650,00 рублей - средства юридических лиц и индивидуальных предпринимателей.</w:t>
      </w:r>
    </w:p>
    <w:p>
      <w:pPr>
        <w:pStyle w:val="Style2"/>
        <w:framePr w:w="10123" w:h="14676" w:hRule="exact" w:wrap="none" w:vAnchor="page" w:hAnchor="page" w:x="1116" w:y="484"/>
        <w:widowControl w:val="0"/>
        <w:keepNext w:val="0"/>
        <w:keepLines w:val="0"/>
        <w:shd w:val="clear" w:color="auto" w:fill="auto"/>
        <w:bidi w:val="0"/>
        <w:jc w:val="both"/>
        <w:spacing w:before="0" w:after="115" w:line="300" w:lineRule="exact"/>
        <w:ind w:left="56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Реализация проекта предусматривает трудовое участие населения.</w:t>
      </w:r>
    </w:p>
    <w:p>
      <w:pPr>
        <w:pStyle w:val="Style2"/>
        <w:framePr w:w="10123" w:h="14676" w:hRule="exact" w:wrap="none" w:vAnchor="page" w:hAnchor="page" w:x="1116" w:y="484"/>
        <w:widowControl w:val="0"/>
        <w:keepNext w:val="0"/>
        <w:keepLines w:val="0"/>
        <w:shd w:val="clear" w:color="auto" w:fill="auto"/>
        <w:bidi w:val="0"/>
        <w:jc w:val="both"/>
        <w:spacing w:before="0" w:after="124" w:line="322" w:lineRule="exact"/>
        <w:ind w:left="560" w:right="2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ходе реализации проекта будет проведена закупка игрового оборудования, мебели, технического оборудования для создания мультстудии, материалов для косметического ремонта, материалов для творчества, а также необходимого оснащения для создания дополнительных интерактивных зон.</w:t>
      </w:r>
    </w:p>
    <w:p>
      <w:pPr>
        <w:pStyle w:val="Style2"/>
        <w:framePr w:w="10123" w:h="14676" w:hRule="exact" w:wrap="none" w:vAnchor="page" w:hAnchor="page" w:x="1116" w:y="484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560" w:right="20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Благодаря реализации данного проекта муниципальное учреждение станет более современным, более полноценным, более многофункциональным, максимально доступным центром развития и досуга для более 300 детей, а также родителей и жителей микрорайона, округа и других территорий. Игровая зона станет комфортней, расшириться формат работы для детей (в том числе из неблагополучных, малообеспеченных и детей с ограниченными возможностями здоровья) интересным и качественным досугом. В результате реализации проекта повысится престиж и привлекательность микрорайона в целом.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30"/>
        <w:szCs w:val="3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3">
    <w:name w:val="Основной текст (2)_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paragraph" w:customStyle="1" w:styleId="Style2">
    <w:name w:val="Основной текст (2)"/>
    <w:basedOn w:val="Normal"/>
    <w:link w:val="CharStyle3"/>
    <w:pPr>
      <w:widowControl w:val="0"/>
      <w:shd w:val="clear" w:color="auto" w:fill="FFFFFF"/>
      <w:jc w:val="center"/>
      <w:spacing w:after="540" w:line="566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